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B7889">
      <w:pPr>
        <w:spacing w:line="360" w:lineRule="auto"/>
        <w:jc w:val="center"/>
        <w:rPr>
          <w:rFonts w:hint="default" w:ascii="Times New Roman" w:hAnsi="Times New Roman" w:cs="Times New Roman"/>
          <w:b/>
          <w:bCs/>
        </w:rPr>
      </w:pPr>
    </w:p>
    <w:p w14:paraId="653A360E">
      <w:pPr>
        <w:spacing w:line="360" w:lineRule="auto"/>
        <w:jc w:val="center"/>
        <w:rPr>
          <w:rFonts w:hint="default" w:ascii="Times New Roman" w:hAnsi="Times New Roman" w:eastAsia="黑体" w:cs="Times New Roman"/>
          <w:b/>
          <w:bCs/>
        </w:rPr>
      </w:pPr>
    </w:p>
    <w:p w14:paraId="365FF95F">
      <w:pPr>
        <w:spacing w:line="360" w:lineRule="auto"/>
        <w:jc w:val="center"/>
        <w:rPr>
          <w:rFonts w:hint="default" w:ascii="Times New Roman" w:hAnsi="Times New Roman" w:eastAsia="黑体" w:cs="Times New Roman"/>
          <w:b/>
          <w:bCs/>
        </w:rPr>
      </w:pPr>
    </w:p>
    <w:p w14:paraId="0340B8B2">
      <w:pPr>
        <w:spacing w:line="360" w:lineRule="auto"/>
        <w:jc w:val="center"/>
        <w:rPr>
          <w:rFonts w:hint="default" w:ascii="Times New Roman" w:hAnsi="Times New Roman" w:eastAsia="黑体" w:cs="Times New Roman"/>
          <w:b/>
          <w:bCs/>
        </w:rPr>
      </w:pPr>
    </w:p>
    <w:p w14:paraId="60BB0D55">
      <w:pPr>
        <w:spacing w:line="360" w:lineRule="auto"/>
        <w:jc w:val="center"/>
        <w:rPr>
          <w:rFonts w:hint="default" w:ascii="Times New Roman" w:hAnsi="Times New Roman" w:eastAsia="黑体" w:cs="Times New Roman"/>
          <w:bCs/>
          <w:sz w:val="72"/>
          <w:szCs w:val="72"/>
        </w:rPr>
      </w:pPr>
      <w:r>
        <w:rPr>
          <w:rFonts w:hint="eastAsia" w:ascii="Times New Roman" w:hAnsi="Times New Roman" w:eastAsia="黑体" w:cs="Times New Roman"/>
          <w:bCs/>
          <w:sz w:val="72"/>
          <w:szCs w:val="72"/>
          <w:lang w:val="en-US" w:eastAsia="zh-CN"/>
        </w:rPr>
        <w:t>山东省</w:t>
      </w:r>
      <w:r>
        <w:rPr>
          <w:rFonts w:hint="default" w:ascii="Times New Roman" w:hAnsi="Times New Roman" w:eastAsia="黑体" w:cs="Times New Roman"/>
          <w:bCs/>
          <w:sz w:val="72"/>
          <w:szCs w:val="72"/>
        </w:rPr>
        <w:t>标准《</w:t>
      </w:r>
      <w:r>
        <w:rPr>
          <w:rFonts w:hint="eastAsia" w:ascii="Times New Roman" w:hAnsi="Times New Roman" w:eastAsia="黑体" w:cs="Times New Roman"/>
          <w:bCs/>
          <w:sz w:val="72"/>
          <w:szCs w:val="72"/>
          <w:lang w:val="en-US" w:eastAsia="zh-CN"/>
        </w:rPr>
        <w:t>超细干粉灭火系统技术规范</w:t>
      </w:r>
      <w:r>
        <w:rPr>
          <w:rFonts w:hint="default" w:ascii="Times New Roman" w:hAnsi="Times New Roman" w:eastAsia="黑体" w:cs="Times New Roman"/>
          <w:bCs/>
          <w:sz w:val="72"/>
          <w:szCs w:val="72"/>
        </w:rPr>
        <w:t>》</w:t>
      </w:r>
    </w:p>
    <w:p w14:paraId="43B40C8B">
      <w:pPr>
        <w:spacing w:line="360" w:lineRule="auto"/>
        <w:jc w:val="center"/>
        <w:rPr>
          <w:rFonts w:hint="default" w:ascii="Times New Roman" w:hAnsi="Times New Roman" w:eastAsia="黑体" w:cs="Times New Roman"/>
          <w:bCs/>
          <w:sz w:val="72"/>
          <w:szCs w:val="72"/>
        </w:rPr>
      </w:pPr>
    </w:p>
    <w:p w14:paraId="186BFC44">
      <w:pPr>
        <w:spacing w:line="360" w:lineRule="auto"/>
        <w:jc w:val="center"/>
        <w:rPr>
          <w:rFonts w:hint="default" w:ascii="Times New Roman" w:hAnsi="Times New Roman" w:eastAsia="黑体" w:cs="Times New Roman"/>
          <w:bCs/>
          <w:sz w:val="72"/>
          <w:szCs w:val="72"/>
        </w:rPr>
      </w:pPr>
      <w:r>
        <w:rPr>
          <w:rFonts w:hint="default" w:ascii="Times New Roman" w:hAnsi="Times New Roman" w:eastAsia="黑体" w:cs="Times New Roman"/>
          <w:bCs/>
          <w:sz w:val="72"/>
          <w:szCs w:val="72"/>
        </w:rPr>
        <w:t>（</w:t>
      </w:r>
      <w:r>
        <w:rPr>
          <w:rFonts w:hint="eastAsia" w:eastAsia="黑体" w:cs="Times New Roman"/>
          <w:bCs/>
          <w:sz w:val="72"/>
          <w:szCs w:val="72"/>
          <w:lang w:val="en-US" w:eastAsia="zh-CN"/>
        </w:rPr>
        <w:t>报批稿</w:t>
      </w:r>
      <w:r>
        <w:rPr>
          <w:rFonts w:hint="default" w:ascii="Times New Roman" w:hAnsi="Times New Roman" w:eastAsia="黑体" w:cs="Times New Roman"/>
          <w:bCs/>
          <w:sz w:val="72"/>
          <w:szCs w:val="72"/>
        </w:rPr>
        <w:t>）</w:t>
      </w:r>
    </w:p>
    <w:p w14:paraId="4A9C082C">
      <w:pPr>
        <w:spacing w:line="360" w:lineRule="auto"/>
        <w:jc w:val="center"/>
        <w:rPr>
          <w:rFonts w:hint="default" w:ascii="Times New Roman" w:hAnsi="Times New Roman" w:eastAsia="黑体" w:cs="Times New Roman"/>
          <w:bCs/>
          <w:sz w:val="72"/>
          <w:szCs w:val="72"/>
        </w:rPr>
      </w:pPr>
    </w:p>
    <w:p w14:paraId="1A11AD24">
      <w:pPr>
        <w:spacing w:line="360" w:lineRule="auto"/>
        <w:jc w:val="center"/>
        <w:rPr>
          <w:rFonts w:hint="default" w:ascii="Times New Roman" w:hAnsi="Times New Roman" w:cs="Times New Roman"/>
          <w:b/>
          <w:bCs/>
        </w:rPr>
      </w:pPr>
    </w:p>
    <w:p w14:paraId="6407F04F">
      <w:pPr>
        <w:spacing w:line="360" w:lineRule="auto"/>
        <w:jc w:val="center"/>
        <w:rPr>
          <w:rFonts w:hint="default" w:ascii="Times New Roman" w:hAnsi="Times New Roman" w:eastAsia="黑体" w:cs="Times New Roman"/>
          <w:bCs/>
          <w:sz w:val="72"/>
          <w:szCs w:val="72"/>
        </w:rPr>
      </w:pPr>
      <w:r>
        <w:rPr>
          <w:rFonts w:hint="default" w:ascii="Times New Roman" w:hAnsi="Times New Roman" w:eastAsia="黑体" w:cs="Times New Roman"/>
          <w:bCs/>
          <w:sz w:val="72"/>
          <w:szCs w:val="72"/>
        </w:rPr>
        <w:t>编制说明</w:t>
      </w:r>
    </w:p>
    <w:p w14:paraId="72F5CFAC">
      <w:pPr>
        <w:spacing w:line="360" w:lineRule="auto"/>
        <w:jc w:val="center"/>
        <w:rPr>
          <w:rFonts w:hint="default" w:ascii="Times New Roman" w:hAnsi="Times New Roman" w:cs="Times New Roman"/>
          <w:b/>
          <w:bCs/>
        </w:rPr>
      </w:pPr>
    </w:p>
    <w:p w14:paraId="10353A1E">
      <w:pPr>
        <w:spacing w:line="360" w:lineRule="auto"/>
        <w:jc w:val="center"/>
        <w:rPr>
          <w:rFonts w:hint="default" w:ascii="Times New Roman" w:hAnsi="Times New Roman" w:cs="Times New Roman"/>
          <w:b/>
          <w:bCs/>
        </w:rPr>
      </w:pPr>
    </w:p>
    <w:p w14:paraId="05466794">
      <w:pPr>
        <w:spacing w:line="360" w:lineRule="auto"/>
        <w:jc w:val="center"/>
        <w:rPr>
          <w:rFonts w:hint="default" w:ascii="Times New Roman" w:hAnsi="Times New Roman" w:cs="Times New Roman"/>
          <w:b/>
          <w:bCs/>
        </w:rPr>
      </w:pPr>
    </w:p>
    <w:p w14:paraId="4CE46A8A">
      <w:pPr>
        <w:spacing w:line="360" w:lineRule="auto"/>
        <w:jc w:val="center"/>
        <w:rPr>
          <w:rFonts w:hint="default" w:ascii="Times New Roman" w:hAnsi="Times New Roman" w:cs="Times New Roman"/>
          <w:b/>
          <w:bCs/>
        </w:rPr>
      </w:pPr>
    </w:p>
    <w:p w14:paraId="42099E5D">
      <w:pPr>
        <w:spacing w:line="360" w:lineRule="auto"/>
        <w:jc w:val="center"/>
        <w:rPr>
          <w:rFonts w:hint="default" w:ascii="Times New Roman" w:hAnsi="Times New Roman" w:cs="Times New Roman"/>
          <w:b/>
          <w:bCs/>
        </w:rPr>
      </w:pPr>
    </w:p>
    <w:p w14:paraId="6BE2B5D1">
      <w:pPr>
        <w:spacing w:line="360" w:lineRule="auto"/>
        <w:jc w:val="center"/>
        <w:rPr>
          <w:rFonts w:hint="default" w:ascii="Times New Roman" w:hAnsi="Times New Roman" w:cs="Times New Roman"/>
          <w:b/>
          <w:bCs/>
        </w:rPr>
      </w:pPr>
    </w:p>
    <w:p w14:paraId="22487226">
      <w:pPr>
        <w:spacing w:line="360" w:lineRule="auto"/>
        <w:jc w:val="center"/>
        <w:rPr>
          <w:rFonts w:hint="default" w:ascii="Times New Roman" w:hAnsi="Times New Roman" w:cs="Times New Roman"/>
          <w:b/>
          <w:bCs/>
        </w:rPr>
      </w:pPr>
    </w:p>
    <w:p w14:paraId="5C276068">
      <w:pPr>
        <w:spacing w:line="360" w:lineRule="auto"/>
        <w:jc w:val="both"/>
        <w:rPr>
          <w:rFonts w:hint="default" w:ascii="Times New Roman" w:hAnsi="Times New Roman" w:cs="Times New Roman"/>
          <w:b/>
          <w:bCs/>
        </w:rPr>
      </w:pPr>
    </w:p>
    <w:p w14:paraId="506090A3">
      <w:pPr>
        <w:spacing w:line="360" w:lineRule="auto"/>
        <w:rPr>
          <w:rFonts w:hint="default" w:ascii="Times New Roman" w:hAnsi="Times New Roman" w:cs="Times New Roman"/>
          <w:b/>
          <w:bCs/>
        </w:rPr>
      </w:pPr>
    </w:p>
    <w:p w14:paraId="0C30D563">
      <w:pPr>
        <w:spacing w:line="360" w:lineRule="auto"/>
        <w:jc w:val="center"/>
        <w:rPr>
          <w:rFonts w:hint="default" w:ascii="Times New Roman" w:hAnsi="Times New Roman" w:eastAsia="华文中宋" w:cs="Times New Roman"/>
          <w:bCs/>
          <w:sz w:val="30"/>
          <w:szCs w:val="28"/>
        </w:rPr>
      </w:pPr>
      <w:bookmarkStart w:id="0" w:name="OLE_LINK7"/>
      <w:r>
        <w:rPr>
          <w:rFonts w:hint="default" w:ascii="Times New Roman" w:hAnsi="Times New Roman" w:eastAsia="华文中宋" w:cs="Times New Roman"/>
          <w:bCs/>
          <w:sz w:val="30"/>
          <w:szCs w:val="28"/>
        </w:rPr>
        <w:t>《</w:t>
      </w:r>
      <w:r>
        <w:rPr>
          <w:rFonts w:hint="eastAsia" w:ascii="Times New Roman" w:hAnsi="Times New Roman" w:eastAsia="华文中宋" w:cs="Times New Roman"/>
          <w:bCs/>
          <w:sz w:val="30"/>
          <w:szCs w:val="28"/>
          <w:lang w:val="en-US" w:eastAsia="zh-CN"/>
        </w:rPr>
        <w:t>超细干粉灭火系统技术规范</w:t>
      </w:r>
      <w:r>
        <w:rPr>
          <w:rFonts w:hint="default" w:ascii="Times New Roman" w:hAnsi="Times New Roman" w:eastAsia="华文中宋" w:cs="Times New Roman"/>
          <w:bCs/>
          <w:sz w:val="30"/>
          <w:szCs w:val="28"/>
        </w:rPr>
        <w:t>》标准编制组</w:t>
      </w:r>
    </w:p>
    <w:bookmarkEnd w:id="0"/>
    <w:p w14:paraId="4D53D629">
      <w:pPr>
        <w:spacing w:line="360" w:lineRule="auto"/>
        <w:jc w:val="center"/>
        <w:rPr>
          <w:rFonts w:hint="default" w:ascii="Times New Roman" w:hAnsi="Times New Roman" w:eastAsia="华文中宋" w:cs="Times New Roman"/>
          <w:bCs/>
          <w:sz w:val="30"/>
          <w:szCs w:val="28"/>
        </w:rPr>
      </w:pPr>
    </w:p>
    <w:p w14:paraId="0D0FF68A">
      <w:pPr>
        <w:spacing w:line="500" w:lineRule="exact"/>
        <w:jc w:val="center"/>
        <w:rPr>
          <w:rFonts w:hint="default" w:ascii="Times New Roman" w:hAnsi="Times New Roman" w:eastAsia="华文中宋" w:cs="Times New Roman"/>
          <w:b/>
          <w:bCs/>
          <w:sz w:val="36"/>
          <w:szCs w:val="28"/>
        </w:rPr>
      </w:pPr>
      <w:r>
        <w:rPr>
          <w:rFonts w:hint="default" w:eastAsia="华文中宋" w:cs="Times New Roman"/>
          <w:b/>
          <w:bCs/>
          <w:sz w:val="36"/>
          <w:szCs w:val="28"/>
          <w:lang w:val="en-US" w:eastAsia="zh-CN"/>
        </w:rPr>
        <w:t>《</w:t>
      </w:r>
      <w:r>
        <w:rPr>
          <w:rFonts w:hint="eastAsia" w:eastAsia="华文中宋" w:cs="Times New Roman"/>
          <w:b/>
          <w:bCs/>
          <w:sz w:val="36"/>
          <w:szCs w:val="28"/>
          <w:lang w:val="en-US" w:eastAsia="zh-CN"/>
        </w:rPr>
        <w:t>超细干粉灭火系统技术规范</w:t>
      </w:r>
      <w:r>
        <w:rPr>
          <w:rFonts w:hint="default" w:eastAsia="华文中宋" w:cs="Times New Roman"/>
          <w:b/>
          <w:bCs/>
          <w:sz w:val="36"/>
          <w:szCs w:val="28"/>
          <w:lang w:val="en-US" w:eastAsia="zh-CN"/>
        </w:rPr>
        <w:t>》</w:t>
      </w:r>
      <w:r>
        <w:rPr>
          <w:rFonts w:hint="default" w:ascii="Times New Roman" w:hAnsi="Times New Roman" w:eastAsia="华文中宋" w:cs="Times New Roman"/>
          <w:b/>
          <w:bCs/>
          <w:sz w:val="36"/>
          <w:szCs w:val="28"/>
        </w:rPr>
        <w:t>（</w:t>
      </w:r>
      <w:r>
        <w:rPr>
          <w:rFonts w:hint="eastAsia" w:eastAsia="华文中宋" w:cs="Times New Roman"/>
          <w:b/>
          <w:bCs/>
          <w:sz w:val="36"/>
          <w:szCs w:val="28"/>
          <w:lang w:val="en-US" w:eastAsia="zh-CN"/>
        </w:rPr>
        <w:t>报批</w:t>
      </w:r>
      <w:r>
        <w:rPr>
          <w:rFonts w:hint="default" w:ascii="Times New Roman" w:hAnsi="Times New Roman" w:eastAsia="华文中宋" w:cs="Times New Roman"/>
          <w:b/>
          <w:bCs/>
          <w:sz w:val="36"/>
          <w:szCs w:val="28"/>
        </w:rPr>
        <w:t>稿）</w:t>
      </w:r>
    </w:p>
    <w:p w14:paraId="24CD0FA8">
      <w:pPr>
        <w:spacing w:line="500" w:lineRule="exact"/>
        <w:jc w:val="center"/>
        <w:rPr>
          <w:rFonts w:hint="default" w:ascii="Times New Roman" w:hAnsi="Times New Roman" w:eastAsia="华文中宋" w:cs="Times New Roman"/>
          <w:b/>
          <w:bCs/>
          <w:sz w:val="36"/>
          <w:szCs w:val="28"/>
        </w:rPr>
      </w:pPr>
      <w:r>
        <w:rPr>
          <w:rFonts w:hint="default" w:ascii="Times New Roman" w:hAnsi="Times New Roman" w:eastAsia="华文中宋" w:cs="Times New Roman"/>
          <w:b/>
          <w:bCs/>
          <w:sz w:val="36"/>
          <w:szCs w:val="28"/>
        </w:rPr>
        <w:t>编制说明</w:t>
      </w:r>
    </w:p>
    <w:p w14:paraId="7FE4B9AB">
      <w:pPr>
        <w:rPr>
          <w:rFonts w:hint="default" w:ascii="Times New Roman" w:hAnsi="Times New Roman" w:cs="Times New Roman"/>
        </w:rPr>
      </w:pPr>
    </w:p>
    <w:p w14:paraId="25C59AB7">
      <w:pPr>
        <w:pStyle w:val="2"/>
        <w:spacing w:before="120" w:after="120"/>
        <w:rPr>
          <w:rFonts w:hint="default" w:ascii="Times New Roman" w:hAnsi="Times New Roman" w:cs="Times New Roman"/>
          <w:b/>
          <w:bCs w:val="0"/>
          <w:sz w:val="32"/>
          <w:szCs w:val="32"/>
        </w:rPr>
      </w:pPr>
      <w:bookmarkStart w:id="1" w:name="_Toc32518"/>
      <w:r>
        <w:rPr>
          <w:rFonts w:hint="default" w:ascii="Times New Roman" w:hAnsi="Times New Roman" w:cs="Times New Roman"/>
          <w:b/>
          <w:bCs w:val="0"/>
          <w:sz w:val="32"/>
          <w:szCs w:val="32"/>
        </w:rPr>
        <w:t>一、工作简况</w:t>
      </w:r>
      <w:bookmarkEnd w:id="1"/>
    </w:p>
    <w:p w14:paraId="7B9357A2">
      <w:pPr>
        <w:pStyle w:val="3"/>
        <w:bidi w:val="0"/>
        <w:ind w:left="0" w:leftChars="0" w:firstLine="0" w:firstLineChars="0"/>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一</w:t>
      </w:r>
      <w:r>
        <w:rPr>
          <w:rFonts w:hint="eastAsia" w:ascii="Times New Roman" w:hAnsi="Times New Roman" w:cs="Times New Roman"/>
          <w:lang w:eastAsia="zh-CN"/>
        </w:rPr>
        <w:t>）</w:t>
      </w:r>
      <w:r>
        <w:rPr>
          <w:rFonts w:hint="default" w:ascii="Times New Roman" w:hAnsi="Times New Roman" w:cs="Times New Roman"/>
          <w:sz w:val="32"/>
          <w:szCs w:val="32"/>
        </w:rPr>
        <w:t>任务来源</w:t>
      </w:r>
    </w:p>
    <w:p w14:paraId="0BB553A6">
      <w:pPr>
        <w:spacing w:line="480" w:lineRule="exact"/>
        <w:ind w:left="210" w:leftChars="100" w:right="208" w:rightChars="99"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根据</w:t>
      </w:r>
      <w:r>
        <w:rPr>
          <w:rFonts w:hint="eastAsia" w:ascii="仿宋" w:hAnsi="仿宋" w:eastAsia="仿宋" w:cs="仿宋"/>
          <w:color w:val="auto"/>
          <w:sz w:val="32"/>
          <w:szCs w:val="32"/>
          <w:lang w:val="en-US" w:eastAsia="zh-CN"/>
        </w:rPr>
        <w:t>山东省市场监督管理总局下发的《关于印发全省标准化创新发展项目计划的通知》（鲁市监标函[2022]247号），</w:t>
      </w:r>
      <w:r>
        <w:rPr>
          <w:rFonts w:hint="eastAsia" w:ascii="仿宋" w:hAnsi="仿宋" w:eastAsia="仿宋" w:cs="仿宋"/>
          <w:color w:val="auto"/>
          <w:sz w:val="32"/>
          <w:szCs w:val="32"/>
        </w:rPr>
        <w:t>由</w:t>
      </w:r>
      <w:r>
        <w:rPr>
          <w:rFonts w:hint="eastAsia" w:ascii="仿宋" w:hAnsi="仿宋" w:eastAsia="仿宋" w:cs="仿宋"/>
          <w:color w:val="auto"/>
          <w:sz w:val="32"/>
          <w:szCs w:val="32"/>
          <w:lang w:val="en-US" w:eastAsia="zh-CN"/>
        </w:rPr>
        <w:t>山东省消防救援总队作为主编单位，承担</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超细干粉灭火系统技术规范（</w:t>
      </w:r>
      <w:r>
        <w:rPr>
          <w:rFonts w:hint="eastAsia" w:ascii="仿宋" w:hAnsi="仿宋" w:eastAsia="仿宋" w:cs="仿宋"/>
          <w:color w:val="auto"/>
          <w:sz w:val="32"/>
          <w:szCs w:val="32"/>
          <w:lang w:val="en-US" w:eastAsia="zh-CN"/>
        </w:rPr>
        <w:t>修订</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规范的修订工作</w:t>
      </w:r>
      <w:r>
        <w:rPr>
          <w:rFonts w:hint="eastAsia" w:ascii="仿宋" w:hAnsi="仿宋" w:eastAsia="仿宋" w:cs="仿宋"/>
          <w:sz w:val="32"/>
          <w:szCs w:val="32"/>
        </w:rPr>
        <w:t>（</w:t>
      </w:r>
      <w:r>
        <w:rPr>
          <w:rFonts w:hint="eastAsia" w:ascii="仿宋" w:hAnsi="仿宋" w:eastAsia="仿宋" w:cs="仿宋"/>
          <w:sz w:val="32"/>
          <w:szCs w:val="32"/>
          <w:lang w:val="en-US" w:eastAsia="zh-CN"/>
        </w:rPr>
        <w:t>项目计划任务编号</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-T-</w:t>
      </w:r>
      <w:r>
        <w:rPr>
          <w:rFonts w:hint="eastAsia" w:ascii="仿宋" w:hAnsi="仿宋" w:eastAsia="仿宋" w:cs="仿宋"/>
          <w:sz w:val="32"/>
          <w:szCs w:val="32"/>
          <w:lang w:val="en-US" w:eastAsia="zh-CN"/>
        </w:rPr>
        <w:t>106</w:t>
      </w:r>
      <w:r>
        <w:rPr>
          <w:rFonts w:hint="eastAsia" w:ascii="仿宋" w:hAnsi="仿宋" w:eastAsia="仿宋" w:cs="仿宋"/>
          <w:sz w:val="32"/>
          <w:szCs w:val="32"/>
        </w:rPr>
        <w:t>）</w:t>
      </w:r>
      <w:r>
        <w:rPr>
          <w:rFonts w:hint="eastAsia" w:ascii="仿宋" w:hAnsi="仿宋" w:eastAsia="仿宋" w:cs="仿宋"/>
          <w:color w:val="auto"/>
          <w:sz w:val="32"/>
          <w:szCs w:val="32"/>
          <w:lang w:val="en-US" w:eastAsia="zh-CN"/>
        </w:rPr>
        <w:t>。</w:t>
      </w:r>
    </w:p>
    <w:p w14:paraId="6B23C2CB">
      <w:pPr>
        <w:pStyle w:val="16"/>
        <w:spacing w:line="360" w:lineRule="auto"/>
        <w:ind w:left="0" w:leftChars="0" w:firstLine="0" w:firstLineChars="0"/>
        <w:rPr>
          <w:rFonts w:hint="default" w:ascii="Times New Roman" w:hAnsi="Times New Roman" w:eastAsia="宋体" w:cs="Times New Roman"/>
          <w:b/>
          <w:bCs w:val="0"/>
          <w:kern w:val="44"/>
          <w:sz w:val="32"/>
          <w:szCs w:val="32"/>
          <w:lang w:val="en-US" w:eastAsia="zh-CN" w:bidi="ar-SA"/>
        </w:rPr>
      </w:pPr>
      <w:r>
        <w:rPr>
          <w:rFonts w:hint="eastAsia" w:ascii="Times New Roman" w:hAnsi="Times New Roman" w:eastAsia="宋体" w:cs="Times New Roman"/>
          <w:b/>
          <w:bCs w:val="0"/>
          <w:kern w:val="44"/>
          <w:sz w:val="32"/>
          <w:szCs w:val="32"/>
          <w:lang w:val="en-US" w:eastAsia="zh-CN" w:bidi="ar-SA"/>
        </w:rPr>
        <w:t>（二）起草和修订单位</w:t>
      </w:r>
    </w:p>
    <w:p w14:paraId="75BD9A23">
      <w:pPr>
        <w:spacing w:line="480" w:lineRule="exact"/>
        <w:ind w:left="210" w:leftChars="100" w:right="208" w:rightChars="99" w:firstLine="640" w:firstLineChars="200"/>
        <w:rPr>
          <w:rFonts w:hint="eastAsia"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本标准的主编单位为</w:t>
      </w:r>
      <w:r>
        <w:rPr>
          <w:rFonts w:hint="eastAsia" w:ascii="仿宋" w:hAnsi="仿宋" w:eastAsia="仿宋" w:cs="仿宋"/>
          <w:color w:val="auto"/>
          <w:sz w:val="32"/>
          <w:szCs w:val="32"/>
          <w:lang w:val="en-US" w:eastAsia="zh-CN"/>
        </w:rPr>
        <w:t>山东省消防救援总队</w:t>
      </w:r>
      <w:r>
        <w:rPr>
          <w:rFonts w:hint="default" w:ascii="仿宋" w:hAnsi="仿宋" w:eastAsia="仿宋" w:cs="仿宋"/>
          <w:color w:val="auto"/>
          <w:sz w:val="32"/>
          <w:szCs w:val="32"/>
          <w:lang w:val="en-US" w:eastAsia="zh-CN"/>
        </w:rPr>
        <w:t>，参编单位为</w:t>
      </w:r>
      <w:r>
        <w:rPr>
          <w:rFonts w:hint="eastAsia" w:ascii="仿宋" w:hAnsi="仿宋" w:eastAsia="仿宋" w:cs="仿宋"/>
          <w:color w:val="auto"/>
          <w:sz w:val="32"/>
          <w:szCs w:val="32"/>
          <w:lang w:val="en-US" w:eastAsia="zh-CN"/>
        </w:rPr>
        <w:t>山东省环绿康新材料科技有限公司</w:t>
      </w:r>
      <w:r>
        <w:rPr>
          <w:rFonts w:hint="default" w:ascii="仿宋" w:hAnsi="仿宋" w:eastAsia="仿宋" w:cs="仿宋"/>
          <w:color w:val="auto"/>
          <w:sz w:val="32"/>
          <w:szCs w:val="32"/>
          <w:lang w:val="en-US" w:eastAsia="zh-CN"/>
        </w:rPr>
        <w:t>。</w:t>
      </w:r>
    </w:p>
    <w:p w14:paraId="54E9A089">
      <w:pPr>
        <w:pStyle w:val="16"/>
        <w:spacing w:line="360" w:lineRule="auto"/>
        <w:ind w:left="0" w:leftChars="0" w:firstLine="0" w:firstLineChars="0"/>
        <w:rPr>
          <w:rFonts w:hint="default" w:ascii="Times New Roman" w:hAnsi="Times New Roman" w:eastAsia="宋体" w:cs="Times New Roman"/>
          <w:b/>
          <w:bCs w:val="0"/>
          <w:kern w:val="44"/>
          <w:sz w:val="32"/>
          <w:szCs w:val="32"/>
          <w:lang w:val="en-US" w:eastAsia="zh-CN" w:bidi="ar-SA"/>
        </w:rPr>
      </w:pPr>
      <w:bookmarkStart w:id="2" w:name="OLE_LINK3"/>
      <w:r>
        <w:rPr>
          <w:rFonts w:hint="eastAsia" w:ascii="Times New Roman" w:hAnsi="Times New Roman" w:eastAsia="宋体" w:cs="Times New Roman"/>
          <w:b/>
          <w:bCs w:val="0"/>
          <w:kern w:val="44"/>
          <w:sz w:val="32"/>
          <w:szCs w:val="32"/>
          <w:lang w:val="en-US" w:eastAsia="zh-CN" w:bidi="ar-SA"/>
        </w:rPr>
        <w:t>（三）修订背景</w:t>
      </w:r>
    </w:p>
    <w:bookmarkEnd w:id="2"/>
    <w:p w14:paraId="04131923">
      <w:pPr>
        <w:numPr>
          <w:ilvl w:val="0"/>
          <w:numId w:val="3"/>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规范2009年发布实施以来，为设计院、工程施工单位、工程验收单位，设备使用单位等提供了依据。目前为止，超细干粉灭火系统的设计、施工及验收仍然没有可依据的国标、行标。该规范运行过程中出现下列问题：</w:t>
      </w:r>
    </w:p>
    <w:p w14:paraId="60D4C63F">
      <w:pPr>
        <w:numPr>
          <w:ilvl w:val="0"/>
          <w:numId w:val="3"/>
        </w:numPr>
        <w:spacing w:line="480" w:lineRule="exact"/>
        <w:ind w:left="425" w:leftChars="0" w:right="208" w:rightChars="99" w:hanging="425" w:firstLineChars="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该规范编写的依据GB/T 1.1-2000《标准的结构和编写规则》和GB/T 1.2《标准中规范性技术要素内容的确定方法》，已经修订为2020年3月31日发布的GB/T 1.1-2020《标准化工作导则 第1部分：标准化文件的结构和起草规则》，规范的结构应进行调整。</w:t>
      </w:r>
    </w:p>
    <w:p w14:paraId="15B2AE97">
      <w:pPr>
        <w:numPr>
          <w:ilvl w:val="0"/>
          <w:numId w:val="3"/>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规范实施以来，已超过10年的使用时间。</w:t>
      </w:r>
    </w:p>
    <w:p w14:paraId="63066550">
      <w:pPr>
        <w:numPr>
          <w:ilvl w:val="0"/>
          <w:numId w:val="3"/>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在使用过程中发现一些问题，需要修订进行改正。</w:t>
      </w:r>
    </w:p>
    <w:p w14:paraId="0782FBD9">
      <w:pPr>
        <w:numPr>
          <w:ilvl w:val="0"/>
          <w:numId w:val="3"/>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该规范参考的标准如GB 16668、GA 578、GA 602等，有的进行了修订，有的进行了调整。</w:t>
      </w:r>
    </w:p>
    <w:p w14:paraId="229B41DB">
      <w:pPr>
        <w:numPr>
          <w:ilvl w:val="0"/>
          <w:numId w:val="3"/>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该规范中原有的部分计算公式非常复杂，目前也有了比较简便的计算方法。</w:t>
      </w:r>
    </w:p>
    <w:p w14:paraId="5FF941F1">
      <w:pPr>
        <w:spacing w:line="480" w:lineRule="exact"/>
        <w:ind w:left="210" w:leftChars="100" w:right="208" w:rightChars="99"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因此非常有必要对现行的版本进行修订。</w:t>
      </w:r>
    </w:p>
    <w:p w14:paraId="73B7E82C">
      <w:pPr>
        <w:numPr>
          <w:ilvl w:val="0"/>
          <w:numId w:val="4"/>
        </w:numPr>
        <w:spacing w:line="360" w:lineRule="auto"/>
        <w:rPr>
          <w:rFonts w:hint="eastAsia" w:ascii="Times New Roman" w:hAnsi="Times New Roman" w:eastAsia="宋体" w:cs="Times New Roman"/>
          <w:b/>
          <w:bCs w:val="0"/>
          <w:kern w:val="44"/>
          <w:sz w:val="32"/>
          <w:szCs w:val="32"/>
          <w:lang w:val="en-US" w:eastAsia="zh-CN" w:bidi="ar-SA"/>
        </w:rPr>
      </w:pPr>
      <w:r>
        <w:rPr>
          <w:rFonts w:hint="eastAsia" w:ascii="Times New Roman" w:hAnsi="Times New Roman" w:eastAsia="宋体" w:cs="Times New Roman"/>
          <w:b/>
          <w:bCs w:val="0"/>
          <w:kern w:val="44"/>
          <w:sz w:val="32"/>
          <w:szCs w:val="32"/>
          <w:lang w:val="en-US" w:eastAsia="zh-CN" w:bidi="ar-SA"/>
        </w:rPr>
        <w:t>主要起草人信息</w:t>
      </w:r>
    </w:p>
    <w:p w14:paraId="2805B28D">
      <w:pPr>
        <w:numPr>
          <w:ilvl w:val="0"/>
          <w:numId w:val="5"/>
        </w:numPr>
        <w:spacing w:line="480" w:lineRule="exact"/>
        <w:ind w:left="425" w:leftChars="0" w:right="208" w:rightChars="99" w:hanging="425" w:firstLineChars="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本标准修订的主要起草人员:陈兵、孙厚杰、李素莲、宋国栋、宋裕超、房芳、席海涛、丛容、宋明韬、王田美、路宁宁、赵广亮。</w:t>
      </w:r>
    </w:p>
    <w:p w14:paraId="3F2E68DA">
      <w:pPr>
        <w:numPr>
          <w:ilvl w:val="0"/>
          <w:numId w:val="5"/>
        </w:numPr>
        <w:spacing w:line="480" w:lineRule="exact"/>
        <w:ind w:left="425" w:leftChars="0" w:right="208" w:rightChars="99" w:hanging="425" w:firstLine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起草人</w:t>
      </w:r>
      <w:r>
        <w:rPr>
          <w:rFonts w:hint="eastAsia" w:ascii="仿宋" w:hAnsi="仿宋" w:eastAsia="仿宋" w:cs="仿宋"/>
          <w:color w:val="auto"/>
          <w:sz w:val="32"/>
          <w:szCs w:val="32"/>
          <w:lang w:val="en-US" w:eastAsia="zh-CN"/>
        </w:rPr>
        <w:t>员主要任务分工</w:t>
      </w:r>
      <w:r>
        <w:rPr>
          <w:rFonts w:hint="default" w:ascii="仿宋" w:hAnsi="仿宋" w:eastAsia="仿宋" w:cs="仿宋"/>
          <w:color w:val="auto"/>
          <w:sz w:val="32"/>
          <w:szCs w:val="32"/>
          <w:lang w:val="en-US" w:eastAsia="zh-CN"/>
        </w:rPr>
        <w:t>：</w:t>
      </w:r>
    </w:p>
    <w:p w14:paraId="5795F9C7">
      <w:pPr>
        <w:spacing w:line="360" w:lineRule="auto"/>
        <w:ind w:firstLine="551" w:firstLineChars="196"/>
        <w:jc w:val="center"/>
        <w:rPr>
          <w:rFonts w:hint="default" w:ascii="Times New Roman" w:hAnsi="Times New Roman" w:cs="Times New Roman"/>
          <w:b/>
          <w:sz w:val="28"/>
          <w:szCs w:val="28"/>
        </w:rPr>
      </w:pPr>
      <w:r>
        <w:rPr>
          <w:rFonts w:hint="default" w:ascii="Times New Roman" w:hAnsi="Times New Roman" w:cs="Times New Roman"/>
          <w:b/>
          <w:sz w:val="28"/>
          <w:szCs w:val="28"/>
        </w:rPr>
        <w:t>标准主要起草人的任务分工</w:t>
      </w:r>
    </w:p>
    <w:tbl>
      <w:tblPr>
        <w:tblStyle w:val="10"/>
        <w:tblW w:w="905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871"/>
        <w:gridCol w:w="760"/>
        <w:gridCol w:w="4092"/>
        <w:gridCol w:w="3335"/>
      </w:tblGrid>
      <w:tr w14:paraId="3C97C6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652" w:hRule="atLeast"/>
          <w:jc w:val="center"/>
        </w:trPr>
        <w:tc>
          <w:tcPr>
            <w:tcW w:w="871" w:type="dxa"/>
            <w:vAlign w:val="center"/>
          </w:tcPr>
          <w:p w14:paraId="636C778F">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姓名</w:t>
            </w:r>
          </w:p>
        </w:tc>
        <w:tc>
          <w:tcPr>
            <w:tcW w:w="760" w:type="dxa"/>
            <w:vAlign w:val="center"/>
          </w:tcPr>
          <w:p w14:paraId="655BE912">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性别</w:t>
            </w:r>
          </w:p>
        </w:tc>
        <w:tc>
          <w:tcPr>
            <w:tcW w:w="4092" w:type="dxa"/>
            <w:vAlign w:val="center"/>
          </w:tcPr>
          <w:p w14:paraId="7DB941EF">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工作单位</w:t>
            </w:r>
          </w:p>
        </w:tc>
        <w:tc>
          <w:tcPr>
            <w:tcW w:w="3335" w:type="dxa"/>
            <w:vAlign w:val="center"/>
          </w:tcPr>
          <w:p w14:paraId="62EA8BE4">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主要工作</w:t>
            </w:r>
          </w:p>
        </w:tc>
      </w:tr>
      <w:tr w14:paraId="58B4D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631" w:hRule="atLeast"/>
          <w:jc w:val="center"/>
        </w:trPr>
        <w:tc>
          <w:tcPr>
            <w:tcW w:w="871" w:type="dxa"/>
            <w:vAlign w:val="center"/>
          </w:tcPr>
          <w:p w14:paraId="4F7ABF39">
            <w:pPr>
              <w:adjustRightInd w:val="0"/>
              <w:spacing w:line="240" w:lineRule="auto"/>
              <w:jc w:val="center"/>
              <w:textAlignment w:val="baseline"/>
              <w:rPr>
                <w:rFonts w:hint="default" w:cs="Times New Roman"/>
                <w:kern w:val="0"/>
                <w:sz w:val="24"/>
                <w:szCs w:val="24"/>
                <w:lang w:val="en-US" w:eastAsia="zh-CN"/>
              </w:rPr>
            </w:pPr>
            <w:r>
              <w:rPr>
                <w:rFonts w:hint="eastAsia" w:cs="Times New Roman"/>
                <w:kern w:val="0"/>
                <w:sz w:val="24"/>
                <w:szCs w:val="24"/>
                <w:lang w:val="en-US" w:eastAsia="zh-CN"/>
              </w:rPr>
              <w:t>陈兵</w:t>
            </w:r>
          </w:p>
        </w:tc>
        <w:tc>
          <w:tcPr>
            <w:tcW w:w="760" w:type="dxa"/>
            <w:vAlign w:val="center"/>
          </w:tcPr>
          <w:p w14:paraId="21C41FB1">
            <w:pPr>
              <w:adjustRightInd w:val="0"/>
              <w:spacing w:line="240" w:lineRule="auto"/>
              <w:jc w:val="center"/>
              <w:textAlignment w:val="baseline"/>
              <w:rPr>
                <w:rFonts w:hint="default" w:ascii="Times New Roman" w:hAnsi="Times New Roman" w:eastAsia="宋体" w:cs="Times New Roman"/>
                <w:kern w:val="0"/>
                <w:sz w:val="24"/>
                <w:szCs w:val="24"/>
                <w:lang w:val="en-US" w:eastAsia="zh-CN"/>
              </w:rPr>
            </w:pPr>
            <w:r>
              <w:rPr>
                <w:rFonts w:hint="eastAsia" w:cs="Times New Roman"/>
                <w:kern w:val="0"/>
                <w:sz w:val="24"/>
                <w:szCs w:val="24"/>
                <w:lang w:val="en-US" w:eastAsia="zh-CN"/>
              </w:rPr>
              <w:t>男</w:t>
            </w:r>
          </w:p>
        </w:tc>
        <w:tc>
          <w:tcPr>
            <w:tcW w:w="4092" w:type="dxa"/>
            <w:vAlign w:val="center"/>
          </w:tcPr>
          <w:p w14:paraId="27A20825">
            <w:pPr>
              <w:adjustRightInd w:val="0"/>
              <w:spacing w:line="240" w:lineRule="auto"/>
              <w:jc w:val="center"/>
              <w:textAlignment w:val="baseline"/>
              <w:rPr>
                <w:rFonts w:hint="eastAsia" w:cs="Times New Roman"/>
                <w:kern w:val="0"/>
                <w:sz w:val="24"/>
                <w:szCs w:val="24"/>
                <w:lang w:val="en-US" w:eastAsia="zh-CN"/>
              </w:rPr>
            </w:pPr>
            <w:r>
              <w:rPr>
                <w:rFonts w:hint="eastAsia" w:cs="Times New Roman"/>
                <w:kern w:val="0"/>
                <w:sz w:val="24"/>
                <w:szCs w:val="24"/>
                <w:lang w:val="en-US" w:eastAsia="zh-CN"/>
              </w:rPr>
              <w:t>山东省消防救援总队</w:t>
            </w:r>
          </w:p>
        </w:tc>
        <w:tc>
          <w:tcPr>
            <w:tcW w:w="3335" w:type="dxa"/>
            <w:vAlign w:val="center"/>
          </w:tcPr>
          <w:p w14:paraId="41FD72AF">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总体负责</w:t>
            </w:r>
          </w:p>
        </w:tc>
      </w:tr>
      <w:tr w14:paraId="551655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3FDFE4DF">
            <w:pPr>
              <w:adjustRightInd w:val="0"/>
              <w:spacing w:line="240" w:lineRule="auto"/>
              <w:jc w:val="center"/>
              <w:textAlignment w:val="baseline"/>
              <w:rPr>
                <w:rFonts w:hint="eastAsia" w:ascii="Times New Roman" w:hAnsi="Times New Roman" w:eastAsia="宋体" w:cs="Times New Roman"/>
                <w:kern w:val="0"/>
                <w:sz w:val="24"/>
                <w:szCs w:val="24"/>
                <w:lang w:val="en-US" w:eastAsia="zh-CN"/>
              </w:rPr>
            </w:pPr>
            <w:r>
              <w:rPr>
                <w:rFonts w:hint="eastAsia" w:cs="Times New Roman"/>
                <w:kern w:val="0"/>
                <w:sz w:val="24"/>
                <w:szCs w:val="24"/>
                <w:lang w:val="en-US" w:eastAsia="zh-CN"/>
              </w:rPr>
              <w:t>孙厚杰</w:t>
            </w:r>
          </w:p>
        </w:tc>
        <w:tc>
          <w:tcPr>
            <w:tcW w:w="760" w:type="dxa"/>
            <w:vAlign w:val="center"/>
          </w:tcPr>
          <w:p w14:paraId="25CD66A7">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男</w:t>
            </w:r>
          </w:p>
        </w:tc>
        <w:tc>
          <w:tcPr>
            <w:tcW w:w="4092" w:type="dxa"/>
            <w:vAlign w:val="center"/>
          </w:tcPr>
          <w:p w14:paraId="44E7EFDF">
            <w:pPr>
              <w:adjustRightInd w:val="0"/>
              <w:spacing w:line="240" w:lineRule="auto"/>
              <w:jc w:val="center"/>
              <w:textAlignment w:val="baseline"/>
              <w:rPr>
                <w:rFonts w:hint="default" w:ascii="Times New Roman" w:hAnsi="Times New Roman" w:cs="Times New Roman"/>
                <w:kern w:val="0"/>
                <w:sz w:val="24"/>
                <w:szCs w:val="24"/>
                <w:lang w:val="en-US"/>
              </w:rPr>
            </w:pPr>
            <w:r>
              <w:rPr>
                <w:rFonts w:hint="eastAsia" w:cs="Times New Roman"/>
                <w:kern w:val="0"/>
                <w:sz w:val="24"/>
                <w:szCs w:val="24"/>
                <w:lang w:val="en-US" w:eastAsia="zh-CN"/>
              </w:rPr>
              <w:t>山东省消防救援总队</w:t>
            </w:r>
          </w:p>
        </w:tc>
        <w:tc>
          <w:tcPr>
            <w:tcW w:w="3335" w:type="dxa"/>
            <w:vAlign w:val="center"/>
          </w:tcPr>
          <w:p w14:paraId="0AF389ED">
            <w:pPr>
              <w:adjustRightInd w:val="0"/>
              <w:spacing w:line="240" w:lineRule="auto"/>
              <w:jc w:val="center"/>
              <w:textAlignment w:val="baseline"/>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rPr>
              <w:t>总体负责</w:t>
            </w:r>
            <w:r>
              <w:rPr>
                <w:rFonts w:hint="eastAsia" w:cs="Times New Roman"/>
                <w:kern w:val="0"/>
                <w:sz w:val="24"/>
                <w:szCs w:val="24"/>
                <w:lang w:eastAsia="zh-CN"/>
              </w:rPr>
              <w:t>，</w:t>
            </w:r>
            <w:r>
              <w:rPr>
                <w:rFonts w:hint="eastAsia" w:cs="Times New Roman"/>
                <w:kern w:val="0"/>
                <w:sz w:val="24"/>
                <w:szCs w:val="24"/>
                <w:lang w:val="en-US" w:eastAsia="zh-CN"/>
              </w:rPr>
              <w:t>参与</w:t>
            </w:r>
            <w:r>
              <w:rPr>
                <w:rFonts w:hint="default" w:ascii="Times New Roman" w:hAnsi="Times New Roman" w:cs="Times New Roman"/>
                <w:kern w:val="0"/>
                <w:sz w:val="24"/>
                <w:szCs w:val="24"/>
              </w:rPr>
              <w:t>各章编写</w:t>
            </w:r>
            <w:r>
              <w:rPr>
                <w:rFonts w:hint="default" w:ascii="Times New Roman" w:hAnsi="Times New Roman" w:cs="Times New Roman"/>
                <w:kern w:val="0"/>
                <w:sz w:val="24"/>
                <w:szCs w:val="24"/>
                <w:lang w:eastAsia="zh-CN"/>
              </w:rPr>
              <w:t>，</w:t>
            </w:r>
            <w:r>
              <w:rPr>
                <w:rFonts w:hint="default" w:ascii="Times New Roman" w:hAnsi="Times New Roman" w:cs="Times New Roman"/>
                <w:kern w:val="0"/>
                <w:sz w:val="24"/>
                <w:szCs w:val="24"/>
              </w:rPr>
              <w:t>组织试验</w:t>
            </w:r>
            <w:r>
              <w:rPr>
                <w:rFonts w:hint="default" w:ascii="Times New Roman" w:hAnsi="Times New Roman" w:cs="Times New Roman"/>
                <w:kern w:val="0"/>
                <w:sz w:val="24"/>
                <w:szCs w:val="24"/>
                <w:lang w:val="en-US" w:eastAsia="zh-CN"/>
              </w:rPr>
              <w:t>验证</w:t>
            </w:r>
          </w:p>
        </w:tc>
      </w:tr>
      <w:tr w14:paraId="37884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4DEB9FEF">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李素莲</w:t>
            </w:r>
          </w:p>
        </w:tc>
        <w:tc>
          <w:tcPr>
            <w:tcW w:w="760" w:type="dxa"/>
            <w:vAlign w:val="center"/>
          </w:tcPr>
          <w:p w14:paraId="509BE702">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女</w:t>
            </w:r>
          </w:p>
        </w:tc>
        <w:tc>
          <w:tcPr>
            <w:tcW w:w="4092" w:type="dxa"/>
            <w:vAlign w:val="center"/>
          </w:tcPr>
          <w:p w14:paraId="30BEA1B9">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山东环绿康新材料科技有限公司</w:t>
            </w:r>
          </w:p>
        </w:tc>
        <w:tc>
          <w:tcPr>
            <w:tcW w:w="3335" w:type="dxa"/>
            <w:vAlign w:val="center"/>
          </w:tcPr>
          <w:p w14:paraId="05E4A4B8">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lang w:val="en-US" w:eastAsia="zh-CN"/>
              </w:rPr>
              <w:t>参与</w:t>
            </w:r>
            <w:r>
              <w:rPr>
                <w:rFonts w:hint="default" w:ascii="Times New Roman" w:hAnsi="Times New Roman" w:cs="Times New Roman"/>
                <w:kern w:val="0"/>
                <w:sz w:val="24"/>
                <w:szCs w:val="24"/>
              </w:rPr>
              <w:t>各章编写</w:t>
            </w:r>
            <w:r>
              <w:rPr>
                <w:rFonts w:hint="default" w:ascii="Times New Roman" w:hAnsi="Times New Roman" w:cs="Times New Roman"/>
                <w:kern w:val="0"/>
                <w:sz w:val="24"/>
                <w:szCs w:val="24"/>
                <w:lang w:val="en-US" w:eastAsia="zh-CN"/>
              </w:rPr>
              <w:t>与校对</w:t>
            </w:r>
          </w:p>
        </w:tc>
      </w:tr>
      <w:tr w14:paraId="04DCF2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6DF8BAFB">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宋国栋</w:t>
            </w:r>
          </w:p>
        </w:tc>
        <w:tc>
          <w:tcPr>
            <w:tcW w:w="760" w:type="dxa"/>
            <w:vAlign w:val="center"/>
          </w:tcPr>
          <w:p w14:paraId="16696E96">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rPr>
              <w:t>男</w:t>
            </w:r>
          </w:p>
        </w:tc>
        <w:tc>
          <w:tcPr>
            <w:tcW w:w="4092" w:type="dxa"/>
            <w:vAlign w:val="center"/>
          </w:tcPr>
          <w:p w14:paraId="52759DF1">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山东环绿康新材料科技有限公司</w:t>
            </w:r>
          </w:p>
        </w:tc>
        <w:tc>
          <w:tcPr>
            <w:tcW w:w="3335" w:type="dxa"/>
            <w:vAlign w:val="center"/>
          </w:tcPr>
          <w:p w14:paraId="4336EE85">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各章编写</w:t>
            </w:r>
            <w:r>
              <w:rPr>
                <w:rFonts w:hint="eastAsia" w:cs="Times New Roman"/>
                <w:kern w:val="0"/>
                <w:sz w:val="24"/>
                <w:szCs w:val="24"/>
                <w:lang w:val="en-US" w:eastAsia="zh-CN"/>
              </w:rPr>
              <w:t>与</w:t>
            </w:r>
            <w:r>
              <w:rPr>
                <w:rFonts w:hint="default" w:ascii="Times New Roman" w:hAnsi="Times New Roman" w:cs="Times New Roman"/>
                <w:kern w:val="0"/>
                <w:sz w:val="24"/>
                <w:szCs w:val="24"/>
                <w:lang w:val="en-US" w:eastAsia="zh-CN"/>
              </w:rPr>
              <w:t>校对</w:t>
            </w:r>
          </w:p>
        </w:tc>
      </w:tr>
      <w:tr w14:paraId="35EE91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1ED84E43">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宋裕超</w:t>
            </w:r>
          </w:p>
        </w:tc>
        <w:tc>
          <w:tcPr>
            <w:tcW w:w="760" w:type="dxa"/>
            <w:vAlign w:val="center"/>
          </w:tcPr>
          <w:p w14:paraId="57BB2727">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rPr>
              <w:t>男</w:t>
            </w:r>
          </w:p>
        </w:tc>
        <w:tc>
          <w:tcPr>
            <w:tcW w:w="4092" w:type="dxa"/>
            <w:vAlign w:val="center"/>
          </w:tcPr>
          <w:p w14:paraId="398847E8">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山东环绿康新材料科技有限公司</w:t>
            </w:r>
          </w:p>
        </w:tc>
        <w:tc>
          <w:tcPr>
            <w:tcW w:w="3335" w:type="dxa"/>
            <w:vAlign w:val="center"/>
          </w:tcPr>
          <w:p w14:paraId="7FD1C978">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各章编写</w:t>
            </w:r>
            <w:r>
              <w:rPr>
                <w:rFonts w:hint="eastAsia" w:cs="Times New Roman"/>
                <w:kern w:val="0"/>
                <w:sz w:val="24"/>
                <w:szCs w:val="24"/>
                <w:lang w:val="en-US" w:eastAsia="zh-CN"/>
              </w:rPr>
              <w:t>与</w:t>
            </w:r>
            <w:r>
              <w:rPr>
                <w:rFonts w:hint="default" w:ascii="Times New Roman" w:hAnsi="Times New Roman" w:cs="Times New Roman"/>
                <w:kern w:val="0"/>
                <w:sz w:val="24"/>
                <w:szCs w:val="24"/>
                <w:lang w:val="en-US" w:eastAsia="zh-CN"/>
              </w:rPr>
              <w:t>校对</w:t>
            </w:r>
          </w:p>
        </w:tc>
      </w:tr>
      <w:tr w14:paraId="390BA4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631" w:hRule="atLeast"/>
          <w:jc w:val="center"/>
        </w:trPr>
        <w:tc>
          <w:tcPr>
            <w:tcW w:w="871" w:type="dxa"/>
            <w:vAlign w:val="center"/>
          </w:tcPr>
          <w:p w14:paraId="75B17092">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eastAsia"/>
                <w:sz w:val="24"/>
                <w:szCs w:val="24"/>
                <w:lang w:eastAsia="zh-CN"/>
              </w:rPr>
              <w:t>房芳</w:t>
            </w:r>
            <w:r>
              <w:rPr>
                <w:rFonts w:hint="eastAsia"/>
                <w:sz w:val="24"/>
                <w:szCs w:val="24"/>
                <w:lang w:val="en-US" w:eastAsia="zh-CN"/>
              </w:rPr>
              <w:t xml:space="preserve">  </w:t>
            </w:r>
          </w:p>
        </w:tc>
        <w:tc>
          <w:tcPr>
            <w:tcW w:w="760" w:type="dxa"/>
            <w:vAlign w:val="center"/>
          </w:tcPr>
          <w:p w14:paraId="71ACA834">
            <w:pPr>
              <w:adjustRightInd w:val="0"/>
              <w:spacing w:line="240" w:lineRule="auto"/>
              <w:jc w:val="center"/>
              <w:textAlignment w:val="baseline"/>
              <w:rPr>
                <w:rFonts w:hint="eastAsia" w:ascii="Times New Roman" w:hAnsi="Times New Roman" w:eastAsia="宋体" w:cs="Times New Roman"/>
                <w:kern w:val="0"/>
                <w:sz w:val="24"/>
                <w:szCs w:val="24"/>
                <w:lang w:val="en-US" w:eastAsia="zh-CN"/>
              </w:rPr>
            </w:pPr>
            <w:r>
              <w:rPr>
                <w:rFonts w:hint="eastAsia" w:cs="Times New Roman"/>
                <w:kern w:val="0"/>
                <w:sz w:val="24"/>
                <w:szCs w:val="24"/>
                <w:lang w:val="en-US" w:eastAsia="zh-CN"/>
              </w:rPr>
              <w:t>女</w:t>
            </w:r>
          </w:p>
        </w:tc>
        <w:tc>
          <w:tcPr>
            <w:tcW w:w="4092" w:type="dxa"/>
            <w:vAlign w:val="center"/>
          </w:tcPr>
          <w:p w14:paraId="047E9FCA">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eastAsia" w:cs="Times New Roman"/>
                <w:kern w:val="0"/>
                <w:sz w:val="24"/>
                <w:szCs w:val="24"/>
                <w:lang w:val="en-US" w:eastAsia="zh-CN"/>
              </w:rPr>
              <w:t>山东省消防救援总队</w:t>
            </w:r>
          </w:p>
        </w:tc>
        <w:tc>
          <w:tcPr>
            <w:tcW w:w="3335" w:type="dxa"/>
            <w:vAlign w:val="center"/>
          </w:tcPr>
          <w:p w14:paraId="48E2A3CA">
            <w:pPr>
              <w:adjustRightInd w:val="0"/>
              <w:spacing w:line="240" w:lineRule="auto"/>
              <w:jc w:val="center"/>
              <w:textAlignment w:val="baseline"/>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各章编写</w:t>
            </w:r>
            <w:r>
              <w:rPr>
                <w:rFonts w:hint="eastAsia" w:cs="Times New Roman"/>
                <w:kern w:val="0"/>
                <w:sz w:val="24"/>
                <w:szCs w:val="24"/>
                <w:lang w:val="en-US" w:eastAsia="zh-CN"/>
              </w:rPr>
              <w:t>与</w:t>
            </w:r>
            <w:r>
              <w:rPr>
                <w:rFonts w:hint="default" w:ascii="Times New Roman" w:hAnsi="Times New Roman" w:cs="Times New Roman"/>
                <w:kern w:val="0"/>
                <w:sz w:val="24"/>
                <w:szCs w:val="24"/>
                <w:lang w:val="en-US" w:eastAsia="zh-CN"/>
              </w:rPr>
              <w:t>校对</w:t>
            </w:r>
          </w:p>
        </w:tc>
      </w:tr>
      <w:tr w14:paraId="1DADD9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2F2D8FA9">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eastAsia"/>
                <w:sz w:val="24"/>
                <w:szCs w:val="24"/>
                <w:lang w:val="en-US" w:eastAsia="zh-CN"/>
              </w:rPr>
              <w:t>席海涛</w:t>
            </w:r>
          </w:p>
        </w:tc>
        <w:tc>
          <w:tcPr>
            <w:tcW w:w="760" w:type="dxa"/>
            <w:vAlign w:val="center"/>
          </w:tcPr>
          <w:p w14:paraId="268FFDE2">
            <w:pPr>
              <w:adjustRightInd w:val="0"/>
              <w:spacing w:line="240" w:lineRule="auto"/>
              <w:jc w:val="center"/>
              <w:textAlignment w:val="baseline"/>
              <w:rPr>
                <w:rFonts w:hint="eastAsia" w:ascii="Times New Roman" w:hAnsi="Times New Roman" w:eastAsia="宋体" w:cs="Times New Roman"/>
                <w:kern w:val="0"/>
                <w:sz w:val="24"/>
                <w:szCs w:val="24"/>
                <w:lang w:val="en-US" w:eastAsia="zh-CN"/>
              </w:rPr>
            </w:pPr>
            <w:r>
              <w:rPr>
                <w:rFonts w:hint="eastAsia" w:cs="Times New Roman"/>
                <w:kern w:val="0"/>
                <w:sz w:val="24"/>
                <w:szCs w:val="24"/>
                <w:lang w:val="en-US" w:eastAsia="zh-CN"/>
              </w:rPr>
              <w:t>男</w:t>
            </w:r>
          </w:p>
        </w:tc>
        <w:tc>
          <w:tcPr>
            <w:tcW w:w="4092" w:type="dxa"/>
            <w:vAlign w:val="center"/>
          </w:tcPr>
          <w:p w14:paraId="2A729B78">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eastAsia" w:cs="Times New Roman"/>
                <w:kern w:val="0"/>
                <w:sz w:val="24"/>
                <w:szCs w:val="24"/>
                <w:lang w:val="en-US" w:eastAsia="zh-CN"/>
              </w:rPr>
              <w:t>山东省消防救援总队</w:t>
            </w:r>
          </w:p>
        </w:tc>
        <w:tc>
          <w:tcPr>
            <w:tcW w:w="3335" w:type="dxa"/>
            <w:vAlign w:val="center"/>
          </w:tcPr>
          <w:p w14:paraId="5AD9B0E7">
            <w:pPr>
              <w:adjustRightInd w:val="0"/>
              <w:spacing w:line="240" w:lineRule="auto"/>
              <w:jc w:val="center"/>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各章编写</w:t>
            </w:r>
            <w:r>
              <w:rPr>
                <w:rFonts w:hint="eastAsia" w:cs="Times New Roman"/>
                <w:kern w:val="0"/>
                <w:sz w:val="24"/>
                <w:szCs w:val="24"/>
                <w:lang w:val="en-US" w:eastAsia="zh-CN"/>
              </w:rPr>
              <w:t>与</w:t>
            </w:r>
            <w:r>
              <w:rPr>
                <w:rFonts w:hint="default" w:ascii="Times New Roman" w:hAnsi="Times New Roman" w:cs="Times New Roman"/>
                <w:kern w:val="0"/>
                <w:sz w:val="24"/>
                <w:szCs w:val="24"/>
                <w:lang w:val="en-US" w:eastAsia="zh-CN"/>
              </w:rPr>
              <w:t>校对</w:t>
            </w:r>
          </w:p>
        </w:tc>
      </w:tr>
      <w:tr w14:paraId="2F3B0D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631" w:hRule="atLeast"/>
          <w:jc w:val="center"/>
        </w:trPr>
        <w:tc>
          <w:tcPr>
            <w:tcW w:w="871" w:type="dxa"/>
            <w:vAlign w:val="center"/>
          </w:tcPr>
          <w:p w14:paraId="7668BB75">
            <w:pPr>
              <w:adjustRightInd w:val="0"/>
              <w:spacing w:line="240" w:lineRule="auto"/>
              <w:jc w:val="center"/>
              <w:textAlignment w:val="baseline"/>
              <w:rPr>
                <w:rFonts w:hint="eastAsia" w:cs="Times New Roman"/>
                <w:kern w:val="0"/>
                <w:sz w:val="24"/>
                <w:szCs w:val="24"/>
                <w:lang w:val="en-US" w:eastAsia="zh-CN"/>
              </w:rPr>
            </w:pPr>
            <w:r>
              <w:rPr>
                <w:rFonts w:hint="eastAsia"/>
                <w:sz w:val="24"/>
                <w:szCs w:val="24"/>
                <w:lang w:val="en-US" w:eastAsia="zh-CN"/>
              </w:rPr>
              <w:t>丛容</w:t>
            </w:r>
          </w:p>
        </w:tc>
        <w:tc>
          <w:tcPr>
            <w:tcW w:w="760" w:type="dxa"/>
            <w:vAlign w:val="center"/>
          </w:tcPr>
          <w:p w14:paraId="16F973E8">
            <w:pPr>
              <w:adjustRightInd w:val="0"/>
              <w:spacing w:line="240" w:lineRule="auto"/>
              <w:jc w:val="center"/>
              <w:textAlignment w:val="baseline"/>
              <w:rPr>
                <w:rFonts w:hint="default" w:ascii="Times New Roman" w:hAnsi="Times New Roman" w:eastAsia="宋体" w:cs="Times New Roman"/>
                <w:kern w:val="0"/>
                <w:sz w:val="24"/>
                <w:szCs w:val="24"/>
                <w:lang w:val="en-US" w:eastAsia="zh-CN"/>
              </w:rPr>
            </w:pPr>
            <w:r>
              <w:rPr>
                <w:rFonts w:hint="eastAsia" w:cs="Times New Roman"/>
                <w:kern w:val="0"/>
                <w:sz w:val="24"/>
                <w:szCs w:val="24"/>
                <w:lang w:val="en-US" w:eastAsia="zh-CN"/>
              </w:rPr>
              <w:t>女</w:t>
            </w:r>
          </w:p>
        </w:tc>
        <w:tc>
          <w:tcPr>
            <w:tcW w:w="4092" w:type="dxa"/>
            <w:vAlign w:val="center"/>
          </w:tcPr>
          <w:p w14:paraId="05E8A65A">
            <w:pPr>
              <w:adjustRightInd w:val="0"/>
              <w:spacing w:line="240" w:lineRule="auto"/>
              <w:jc w:val="center"/>
              <w:textAlignment w:val="baseline"/>
              <w:rPr>
                <w:rFonts w:hint="eastAsia" w:cs="Times New Roman"/>
                <w:kern w:val="0"/>
                <w:sz w:val="24"/>
                <w:szCs w:val="24"/>
                <w:lang w:val="en-US" w:eastAsia="zh-CN"/>
              </w:rPr>
            </w:pPr>
            <w:r>
              <w:rPr>
                <w:rFonts w:hint="eastAsia" w:cs="Times New Roman"/>
                <w:kern w:val="0"/>
                <w:sz w:val="24"/>
                <w:szCs w:val="24"/>
                <w:lang w:val="en-US" w:eastAsia="zh-CN"/>
              </w:rPr>
              <w:t>山东省消防救援总队</w:t>
            </w:r>
          </w:p>
        </w:tc>
        <w:tc>
          <w:tcPr>
            <w:tcW w:w="3335" w:type="dxa"/>
            <w:vAlign w:val="center"/>
          </w:tcPr>
          <w:p w14:paraId="477FFF5B">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各章编写</w:t>
            </w:r>
            <w:r>
              <w:rPr>
                <w:rFonts w:hint="eastAsia" w:cs="Times New Roman"/>
                <w:kern w:val="0"/>
                <w:sz w:val="24"/>
                <w:szCs w:val="24"/>
                <w:lang w:val="en-US" w:eastAsia="zh-CN"/>
              </w:rPr>
              <w:t>与</w:t>
            </w:r>
            <w:r>
              <w:rPr>
                <w:rFonts w:hint="default" w:ascii="Times New Roman" w:hAnsi="Times New Roman" w:cs="Times New Roman"/>
                <w:kern w:val="0"/>
                <w:sz w:val="24"/>
                <w:szCs w:val="24"/>
                <w:lang w:val="en-US" w:eastAsia="zh-CN"/>
              </w:rPr>
              <w:t>校对</w:t>
            </w:r>
          </w:p>
        </w:tc>
      </w:tr>
      <w:tr w14:paraId="3D8F3E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248" w:hRule="atLeast"/>
          <w:jc w:val="center"/>
        </w:trPr>
        <w:tc>
          <w:tcPr>
            <w:tcW w:w="871" w:type="dxa"/>
            <w:vAlign w:val="center"/>
          </w:tcPr>
          <w:p w14:paraId="07EC7C68">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宋明韬</w:t>
            </w:r>
          </w:p>
        </w:tc>
        <w:tc>
          <w:tcPr>
            <w:tcW w:w="760" w:type="dxa"/>
            <w:vAlign w:val="center"/>
          </w:tcPr>
          <w:p w14:paraId="217832AE">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男</w:t>
            </w:r>
          </w:p>
        </w:tc>
        <w:tc>
          <w:tcPr>
            <w:tcW w:w="4092" w:type="dxa"/>
            <w:vAlign w:val="center"/>
          </w:tcPr>
          <w:p w14:paraId="6E8E55A9">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山东环绿康新材料科技有限公司</w:t>
            </w:r>
          </w:p>
        </w:tc>
        <w:tc>
          <w:tcPr>
            <w:tcW w:w="3335" w:type="dxa"/>
            <w:vAlign w:val="center"/>
          </w:tcPr>
          <w:p w14:paraId="3737C79A">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w:t>
            </w:r>
            <w:r>
              <w:rPr>
                <w:rFonts w:hint="default" w:ascii="Times New Roman" w:hAnsi="Times New Roman" w:cs="Times New Roman"/>
                <w:kern w:val="0"/>
                <w:sz w:val="24"/>
                <w:szCs w:val="24"/>
                <w:lang w:val="en-US" w:eastAsia="zh-CN"/>
              </w:rPr>
              <w:t>编写与校对</w:t>
            </w:r>
          </w:p>
        </w:tc>
      </w:tr>
      <w:tr w14:paraId="4A85B3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894" w:hRule="atLeast"/>
          <w:jc w:val="center"/>
        </w:trPr>
        <w:tc>
          <w:tcPr>
            <w:tcW w:w="871" w:type="dxa"/>
            <w:vAlign w:val="center"/>
          </w:tcPr>
          <w:p w14:paraId="093EB74F">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王田美</w:t>
            </w:r>
          </w:p>
        </w:tc>
        <w:tc>
          <w:tcPr>
            <w:tcW w:w="760" w:type="dxa"/>
            <w:vAlign w:val="center"/>
          </w:tcPr>
          <w:p w14:paraId="30285501">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女</w:t>
            </w:r>
          </w:p>
        </w:tc>
        <w:tc>
          <w:tcPr>
            <w:tcW w:w="4092" w:type="dxa"/>
            <w:vAlign w:val="center"/>
          </w:tcPr>
          <w:p w14:paraId="19BB2DFA">
            <w:pPr>
              <w:adjustRightInd w:val="0"/>
              <w:spacing w:line="240" w:lineRule="auto"/>
              <w:jc w:val="center"/>
              <w:textAlignment w:val="baseline"/>
              <w:rPr>
                <w:rFonts w:hint="eastAsia"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rPr>
              <w:t>山东环绿康新材料科技有限公司</w:t>
            </w:r>
          </w:p>
        </w:tc>
        <w:tc>
          <w:tcPr>
            <w:tcW w:w="3335" w:type="dxa"/>
            <w:vAlign w:val="center"/>
          </w:tcPr>
          <w:p w14:paraId="6A777C10">
            <w:pPr>
              <w:adjustRightInd w:val="0"/>
              <w:spacing w:line="240" w:lineRule="auto"/>
              <w:jc w:val="center"/>
              <w:textAlignment w:val="baseline"/>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w:t>
            </w:r>
            <w:r>
              <w:rPr>
                <w:rFonts w:hint="eastAsia" w:cs="Times New Roman"/>
                <w:kern w:val="0"/>
                <w:sz w:val="24"/>
                <w:szCs w:val="24"/>
                <w:lang w:val="en-US" w:eastAsia="zh-CN"/>
              </w:rPr>
              <w:t>编写</w:t>
            </w:r>
            <w:r>
              <w:rPr>
                <w:rFonts w:hint="default" w:ascii="Times New Roman" w:hAnsi="Times New Roman" w:cs="Times New Roman"/>
                <w:kern w:val="0"/>
                <w:sz w:val="24"/>
                <w:szCs w:val="24"/>
                <w:lang w:val="en-US" w:eastAsia="zh-CN"/>
              </w:rPr>
              <w:t>与校对</w:t>
            </w:r>
          </w:p>
        </w:tc>
      </w:tr>
      <w:tr w14:paraId="5397D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1077" w:hRule="atLeast"/>
          <w:jc w:val="center"/>
        </w:trPr>
        <w:tc>
          <w:tcPr>
            <w:tcW w:w="871" w:type="dxa"/>
            <w:vAlign w:val="center"/>
          </w:tcPr>
          <w:p w14:paraId="165DFD74">
            <w:pPr>
              <w:adjustRightInd w:val="0"/>
              <w:spacing w:line="240" w:lineRule="auto"/>
              <w:jc w:val="center"/>
              <w:textAlignment w:val="baseline"/>
              <w:rPr>
                <w:rFonts w:hint="default" w:cs="Times New Roman"/>
                <w:kern w:val="0"/>
                <w:sz w:val="24"/>
                <w:szCs w:val="24"/>
                <w:lang w:val="en-US" w:eastAsia="zh-CN"/>
              </w:rPr>
            </w:pPr>
            <w:r>
              <w:rPr>
                <w:rFonts w:hint="eastAsia" w:cs="Times New Roman"/>
                <w:kern w:val="0"/>
                <w:sz w:val="24"/>
                <w:szCs w:val="24"/>
                <w:lang w:val="en-US" w:eastAsia="zh-CN"/>
              </w:rPr>
              <w:t>路宁宁</w:t>
            </w:r>
          </w:p>
        </w:tc>
        <w:tc>
          <w:tcPr>
            <w:tcW w:w="760" w:type="dxa"/>
            <w:vAlign w:val="center"/>
          </w:tcPr>
          <w:p w14:paraId="666E7B6A">
            <w:pPr>
              <w:adjustRightInd w:val="0"/>
              <w:spacing w:line="240" w:lineRule="auto"/>
              <w:jc w:val="center"/>
              <w:textAlignment w:val="baseline"/>
              <w:rPr>
                <w:rFonts w:hint="default" w:ascii="Times New Roman" w:hAnsi="Times New Roman" w:cs="Times New Roman"/>
                <w:kern w:val="0"/>
                <w:sz w:val="24"/>
                <w:szCs w:val="24"/>
              </w:rPr>
            </w:pPr>
            <w:r>
              <w:rPr>
                <w:rFonts w:hint="eastAsia" w:cs="Times New Roman"/>
                <w:kern w:val="0"/>
                <w:sz w:val="24"/>
                <w:szCs w:val="24"/>
                <w:lang w:val="en-US" w:eastAsia="zh-CN"/>
              </w:rPr>
              <w:t>女</w:t>
            </w:r>
          </w:p>
        </w:tc>
        <w:tc>
          <w:tcPr>
            <w:tcW w:w="4092" w:type="dxa"/>
            <w:vAlign w:val="center"/>
          </w:tcPr>
          <w:p w14:paraId="4A629546">
            <w:pPr>
              <w:adjustRightInd w:val="0"/>
              <w:spacing w:line="240" w:lineRule="auto"/>
              <w:jc w:val="center"/>
              <w:textAlignment w:val="baseline"/>
              <w:rPr>
                <w:rFonts w:hint="eastAsia" w:cs="Times New Roman"/>
                <w:kern w:val="0"/>
                <w:sz w:val="24"/>
                <w:szCs w:val="24"/>
                <w:lang w:val="en-US" w:eastAsia="zh-CN"/>
              </w:rPr>
            </w:pPr>
            <w:r>
              <w:rPr>
                <w:rFonts w:hint="eastAsia" w:cs="Times New Roman"/>
                <w:kern w:val="0"/>
                <w:sz w:val="24"/>
                <w:szCs w:val="24"/>
                <w:lang w:val="en-US" w:eastAsia="zh-CN"/>
              </w:rPr>
              <w:t>山东环绿康新材料科技有限公司</w:t>
            </w:r>
          </w:p>
        </w:tc>
        <w:tc>
          <w:tcPr>
            <w:tcW w:w="3335" w:type="dxa"/>
            <w:vAlign w:val="center"/>
          </w:tcPr>
          <w:p w14:paraId="5E1EBBC7">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w:t>
            </w:r>
            <w:r>
              <w:rPr>
                <w:rFonts w:hint="default" w:ascii="Times New Roman" w:hAnsi="Times New Roman" w:cs="Times New Roman"/>
                <w:kern w:val="0"/>
                <w:sz w:val="24"/>
                <w:szCs w:val="24"/>
                <w:lang w:val="en-US" w:eastAsia="zh-CN"/>
              </w:rPr>
              <w:t>校对</w:t>
            </w:r>
          </w:p>
        </w:tc>
      </w:tr>
      <w:tr w14:paraId="4619A9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938" w:hRule="atLeast"/>
          <w:jc w:val="center"/>
        </w:trPr>
        <w:tc>
          <w:tcPr>
            <w:tcW w:w="871" w:type="dxa"/>
            <w:vAlign w:val="center"/>
          </w:tcPr>
          <w:p w14:paraId="125A48CF">
            <w:pPr>
              <w:adjustRightInd w:val="0"/>
              <w:spacing w:line="240" w:lineRule="auto"/>
              <w:jc w:val="center"/>
              <w:textAlignment w:val="baseline"/>
              <w:rPr>
                <w:rFonts w:hint="default" w:cs="Times New Roman"/>
                <w:kern w:val="0"/>
                <w:sz w:val="24"/>
                <w:szCs w:val="24"/>
                <w:lang w:val="en-US" w:eastAsia="zh-CN"/>
              </w:rPr>
            </w:pPr>
            <w:r>
              <w:rPr>
                <w:rFonts w:hint="eastAsia" w:cs="Times New Roman"/>
                <w:kern w:val="0"/>
                <w:sz w:val="24"/>
                <w:szCs w:val="24"/>
                <w:lang w:val="en-US" w:eastAsia="zh-CN"/>
              </w:rPr>
              <w:t>赵广亮</w:t>
            </w:r>
          </w:p>
        </w:tc>
        <w:tc>
          <w:tcPr>
            <w:tcW w:w="760" w:type="dxa"/>
            <w:vAlign w:val="center"/>
          </w:tcPr>
          <w:p w14:paraId="55275A25">
            <w:pPr>
              <w:adjustRightInd w:val="0"/>
              <w:spacing w:line="240" w:lineRule="auto"/>
              <w:jc w:val="center"/>
              <w:textAlignment w:val="baseline"/>
              <w:rPr>
                <w:rFonts w:hint="default" w:ascii="Times New Roman" w:hAnsi="Times New Roman" w:cs="Times New Roman"/>
                <w:kern w:val="0"/>
                <w:sz w:val="24"/>
                <w:szCs w:val="24"/>
              </w:rPr>
            </w:pPr>
            <w:r>
              <w:rPr>
                <w:rFonts w:hint="eastAsia" w:cs="Times New Roman"/>
                <w:kern w:val="0"/>
                <w:sz w:val="24"/>
                <w:szCs w:val="24"/>
                <w:lang w:val="en-US" w:eastAsia="zh-CN"/>
              </w:rPr>
              <w:t>男</w:t>
            </w:r>
          </w:p>
        </w:tc>
        <w:tc>
          <w:tcPr>
            <w:tcW w:w="4092" w:type="dxa"/>
            <w:vAlign w:val="center"/>
          </w:tcPr>
          <w:p w14:paraId="47F28701">
            <w:pPr>
              <w:adjustRightInd w:val="0"/>
              <w:spacing w:line="240" w:lineRule="auto"/>
              <w:jc w:val="center"/>
              <w:textAlignment w:val="baseline"/>
              <w:rPr>
                <w:rFonts w:hint="eastAsia" w:cs="Times New Roman"/>
                <w:kern w:val="0"/>
                <w:sz w:val="24"/>
                <w:szCs w:val="24"/>
                <w:lang w:val="en-US" w:eastAsia="zh-CN"/>
              </w:rPr>
            </w:pPr>
            <w:r>
              <w:rPr>
                <w:rFonts w:hint="eastAsia" w:cs="Times New Roman"/>
                <w:kern w:val="0"/>
                <w:sz w:val="24"/>
                <w:szCs w:val="24"/>
                <w:lang w:val="en-US" w:eastAsia="zh-CN"/>
              </w:rPr>
              <w:t>山东环绿康新材料科技有限公司</w:t>
            </w:r>
          </w:p>
        </w:tc>
        <w:tc>
          <w:tcPr>
            <w:tcW w:w="3335" w:type="dxa"/>
            <w:vAlign w:val="center"/>
          </w:tcPr>
          <w:p w14:paraId="38CA6C14">
            <w:pPr>
              <w:adjustRightInd w:val="0"/>
              <w:spacing w:line="240" w:lineRule="auto"/>
              <w:jc w:val="center"/>
              <w:textAlignment w:val="baseline"/>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参加</w:t>
            </w:r>
            <w:r>
              <w:rPr>
                <w:rFonts w:hint="default" w:ascii="Times New Roman" w:hAnsi="Times New Roman" w:cs="Times New Roman"/>
                <w:kern w:val="0"/>
                <w:sz w:val="24"/>
                <w:szCs w:val="24"/>
              </w:rPr>
              <w:t>各章</w:t>
            </w:r>
            <w:r>
              <w:rPr>
                <w:rFonts w:hint="default" w:ascii="Times New Roman" w:hAnsi="Times New Roman" w:cs="Times New Roman"/>
                <w:kern w:val="0"/>
                <w:sz w:val="24"/>
                <w:szCs w:val="24"/>
                <w:lang w:val="en-US" w:eastAsia="zh-CN"/>
              </w:rPr>
              <w:t>校对</w:t>
            </w:r>
          </w:p>
        </w:tc>
      </w:tr>
    </w:tbl>
    <w:p w14:paraId="089AF6E3">
      <w:pPr>
        <w:pStyle w:val="3"/>
        <w:bidi w:val="0"/>
        <w:ind w:left="0" w:leftChars="0" w:firstLine="0" w:firstLineChars="0"/>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3、</w:t>
      </w:r>
      <w:r>
        <w:rPr>
          <w:rFonts w:hint="default" w:ascii="仿宋" w:hAnsi="仿宋" w:eastAsia="仿宋" w:cs="仿宋"/>
          <w:b w:val="0"/>
          <w:color w:val="auto"/>
          <w:kern w:val="2"/>
          <w:sz w:val="32"/>
          <w:szCs w:val="32"/>
          <w:lang w:val="en-US" w:eastAsia="zh-CN" w:bidi="ar-SA"/>
        </w:rPr>
        <w:t>主编单位及参编单位情况</w:t>
      </w:r>
    </w:p>
    <w:p w14:paraId="35D48FF2">
      <w:pPr>
        <w:spacing w:line="480" w:lineRule="exact"/>
        <w:ind w:left="231" w:leftChars="110" w:firstLine="640" w:firstLineChars="20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本标准的主编单位为</w:t>
      </w:r>
      <w:r>
        <w:rPr>
          <w:rFonts w:hint="eastAsia" w:ascii="仿宋" w:hAnsi="仿宋" w:eastAsia="仿宋" w:cs="仿宋"/>
          <w:b w:val="0"/>
          <w:color w:val="auto"/>
          <w:kern w:val="2"/>
          <w:sz w:val="32"/>
          <w:szCs w:val="32"/>
          <w:lang w:val="en-US" w:eastAsia="zh-CN" w:bidi="ar-SA"/>
        </w:rPr>
        <w:t>山东省消防救援总队</w:t>
      </w:r>
      <w:r>
        <w:rPr>
          <w:rFonts w:hint="default" w:ascii="仿宋" w:hAnsi="仿宋" w:eastAsia="仿宋" w:cs="仿宋"/>
          <w:b w:val="0"/>
          <w:color w:val="auto"/>
          <w:kern w:val="2"/>
          <w:sz w:val="32"/>
          <w:szCs w:val="32"/>
          <w:lang w:val="en-US" w:eastAsia="zh-CN" w:bidi="ar-SA"/>
        </w:rPr>
        <w:t>，参编单位为</w:t>
      </w:r>
      <w:r>
        <w:rPr>
          <w:rFonts w:hint="eastAsia" w:ascii="仿宋" w:hAnsi="仿宋" w:eastAsia="仿宋" w:cs="仿宋"/>
          <w:b w:val="0"/>
          <w:color w:val="auto"/>
          <w:kern w:val="2"/>
          <w:sz w:val="32"/>
          <w:szCs w:val="32"/>
          <w:lang w:val="en-US" w:eastAsia="zh-CN" w:bidi="ar-SA"/>
        </w:rPr>
        <w:t>山东省环绿康新材料科技有限公司</w:t>
      </w:r>
      <w:r>
        <w:rPr>
          <w:rFonts w:hint="default" w:ascii="仿宋" w:hAnsi="仿宋" w:eastAsia="仿宋" w:cs="仿宋"/>
          <w:b w:val="0"/>
          <w:color w:val="auto"/>
          <w:kern w:val="2"/>
          <w:sz w:val="32"/>
          <w:szCs w:val="32"/>
          <w:lang w:val="en-US" w:eastAsia="zh-CN" w:bidi="ar-SA"/>
        </w:rPr>
        <w:t>。各单位简要介绍如下：</w:t>
      </w:r>
    </w:p>
    <w:p w14:paraId="2AA16711">
      <w:pPr>
        <w:spacing w:line="480" w:lineRule="exact"/>
        <w:ind w:left="210" w:leftChars="100" w:right="208" w:rightChars="99" w:firstLine="640" w:firstLineChars="200"/>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主编单位</w:t>
      </w:r>
      <w:r>
        <w:rPr>
          <w:rFonts w:hint="eastAsia" w:ascii="仿宋" w:hAnsi="仿宋" w:eastAsia="仿宋" w:cs="仿宋"/>
          <w:b w:val="0"/>
          <w:color w:val="auto"/>
          <w:kern w:val="2"/>
          <w:sz w:val="32"/>
          <w:szCs w:val="32"/>
          <w:lang w:val="en-US" w:eastAsia="zh-CN" w:bidi="ar-SA"/>
        </w:rPr>
        <w:t>山东省消防救援总队</w:t>
      </w:r>
      <w:r>
        <w:rPr>
          <w:rFonts w:hint="default" w:ascii="仿宋" w:hAnsi="仿宋" w:eastAsia="仿宋" w:cs="仿宋"/>
          <w:b w:val="0"/>
          <w:color w:val="auto"/>
          <w:kern w:val="2"/>
          <w:sz w:val="32"/>
          <w:szCs w:val="32"/>
          <w:lang w:val="en-US" w:eastAsia="zh-CN" w:bidi="ar-SA"/>
        </w:rPr>
        <w:t>是</w:t>
      </w:r>
      <w:r>
        <w:rPr>
          <w:rFonts w:hint="eastAsia" w:ascii="仿宋" w:hAnsi="仿宋" w:eastAsia="仿宋" w:cs="仿宋"/>
          <w:b w:val="0"/>
          <w:color w:val="auto"/>
          <w:kern w:val="2"/>
          <w:sz w:val="32"/>
          <w:szCs w:val="32"/>
          <w:lang w:val="en-US" w:eastAsia="zh-CN" w:bidi="ar-SA"/>
        </w:rPr>
        <w:t>在应急管理部和省委省政府的领导下，主要承担城乡综合性消防救援工作，负责指挥调度相关灾害事故救援行动，重要会议、大型活动消防安全保卫工作；承担火灾预防、消防监督执法以及火灾事故调查处理相关工作，依法行使消防安全综合监管职能，推动落实消防安全责任制；参与拟订消防专项规划，参与起草地方性消防法规、规章草案并监督实施；负责消防救援队伍综合性消防救援预案编制、战术研究和执勤备战、训练演练等工作；负责消防救援信息化和应急通信建设，承担综合性消防救援行动应急通信保障工作；负责消防安全宣传教育，组织指导社会消防力量建设等工作；负责消防应急救援专业队伍规划、建设与调度指挥，参与组织协调动员各类社会救援力量参加救援任务；负责消防救援队伍建设与管理。</w:t>
      </w:r>
    </w:p>
    <w:p w14:paraId="7B5BA02C">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参编单位</w:t>
      </w:r>
      <w:r>
        <w:rPr>
          <w:rFonts w:hint="eastAsia" w:ascii="仿宋" w:hAnsi="仿宋" w:eastAsia="仿宋" w:cs="仿宋"/>
          <w:b w:val="0"/>
          <w:color w:val="auto"/>
          <w:kern w:val="2"/>
          <w:sz w:val="32"/>
          <w:szCs w:val="32"/>
          <w:lang w:val="en-US" w:eastAsia="zh-CN" w:bidi="ar-SA"/>
        </w:rPr>
        <w:t>山东环绿康新材料科技有限公司山东环绿康新材料科技有限公司是一家集科研开发、生产销售、安装为一体的“高新技术企业”。成立于2002年1月。自主研发了数十项科研成果，拥有几十项国家专利。被评为“高新技术企业”、“市级企业技术中心”、“市级工程技术研究中心”、“市消防用自动灭火系统工程技术研究中心”等等；获得“科学技术进步奖”、“科学技术成果登记证书”；是“中国消防协会单位会员”、“山东省消防协会单位会员”。参加了GB16668-2010《干粉灭火系统及部件通用技术条件》、XF578-2005《超细干粉灭火剂》、XF979-2012《D类干粉灭火剂》、XF602-2013《干粉灭火系统》等等多项标准的起草编写工作。环绿康拥有技术力量雄厚的研究所、设施齐全和先进的灭火实验室，以及满足产业化生产需要的检验检测设备，与公安部火灾重点实验室、北京防火研究所等国内顶尖的消防科研机构有着紧密的技术交流和合作。拥有自主知识产权的HLK聚合型ABC超细干粉灭火剂、D类干粉灭火剂、KFR-100高效抗复燃灭火剂和HLK冷气溶胶灭火剂产品，填补了国内消防行业的多项空白。参加中国人民武装警察部队、应急管理部天津消防研究所等的多项研究课题。</w:t>
      </w:r>
      <w:r>
        <w:rPr>
          <w:rFonts w:hint="default" w:ascii="仿宋" w:hAnsi="仿宋" w:eastAsia="仿宋" w:cs="仿宋"/>
          <w:b w:val="0"/>
          <w:color w:val="auto"/>
          <w:kern w:val="2"/>
          <w:sz w:val="32"/>
          <w:szCs w:val="32"/>
          <w:lang w:val="en-US" w:eastAsia="zh-CN" w:bidi="ar-SA"/>
        </w:rPr>
        <w:t>这些均为该标准的制订工作提供技术和人员的保障。参与本标准编制和试验验证。</w:t>
      </w:r>
    </w:p>
    <w:p w14:paraId="631073C3">
      <w:pPr>
        <w:autoSpaceDE w:val="0"/>
        <w:autoSpaceDN w:val="0"/>
        <w:adjustRightInd w:val="0"/>
        <w:spacing w:line="480" w:lineRule="exact"/>
        <w:jc w:val="left"/>
        <w:rPr>
          <w:rFonts w:hint="default" w:ascii="Times New Roman" w:hAnsi="Times New Roman" w:eastAsia="宋体" w:cs="Times New Roman"/>
          <w:b/>
          <w:bCs w:val="0"/>
          <w:kern w:val="44"/>
          <w:sz w:val="32"/>
          <w:szCs w:val="32"/>
          <w:lang w:val="en-US" w:eastAsia="zh-CN" w:bidi="ar-SA"/>
        </w:rPr>
      </w:pPr>
      <w:r>
        <w:rPr>
          <w:rFonts w:hint="eastAsia" w:ascii="Times New Roman" w:hAnsi="Times New Roman" w:eastAsia="宋体" w:cs="Times New Roman"/>
          <w:b/>
          <w:bCs w:val="0"/>
          <w:kern w:val="44"/>
          <w:sz w:val="32"/>
          <w:szCs w:val="32"/>
          <w:lang w:val="en-US" w:eastAsia="zh-CN" w:bidi="ar-SA"/>
        </w:rPr>
        <w:t>（五）修订</w:t>
      </w:r>
      <w:r>
        <w:rPr>
          <w:rFonts w:hint="default" w:ascii="Times New Roman" w:hAnsi="Times New Roman" w:eastAsia="宋体" w:cs="Times New Roman"/>
          <w:b/>
          <w:bCs w:val="0"/>
          <w:kern w:val="44"/>
          <w:sz w:val="32"/>
          <w:szCs w:val="32"/>
          <w:lang w:val="en-US" w:eastAsia="zh-CN" w:bidi="ar-SA"/>
        </w:rPr>
        <w:t>过程</w:t>
      </w:r>
    </w:p>
    <w:p w14:paraId="7BC6C2D4">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（1）</w:t>
      </w:r>
      <w:r>
        <w:rPr>
          <w:rFonts w:hint="eastAsia" w:ascii="仿宋" w:hAnsi="仿宋" w:eastAsia="仿宋" w:cs="仿宋"/>
          <w:b w:val="0"/>
          <w:color w:val="auto"/>
          <w:kern w:val="2"/>
          <w:sz w:val="32"/>
          <w:szCs w:val="32"/>
          <w:lang w:val="en-US" w:eastAsia="zh-CN" w:bidi="ar-SA"/>
        </w:rPr>
        <w:t>调研</w:t>
      </w:r>
      <w:r>
        <w:rPr>
          <w:rFonts w:hint="default" w:ascii="仿宋" w:hAnsi="仿宋" w:eastAsia="仿宋" w:cs="仿宋"/>
          <w:b w:val="0"/>
          <w:color w:val="auto"/>
          <w:kern w:val="2"/>
          <w:sz w:val="32"/>
          <w:szCs w:val="32"/>
          <w:lang w:val="en-US" w:eastAsia="zh-CN" w:bidi="ar-SA"/>
        </w:rPr>
        <w:t>阶段</w:t>
      </w:r>
    </w:p>
    <w:p w14:paraId="25533DA2">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1、山东省消防救援总队及</w:t>
      </w:r>
      <w:r>
        <w:rPr>
          <w:rFonts w:hint="eastAsia" w:ascii="仿宋" w:hAnsi="仿宋" w:eastAsia="仿宋" w:cs="仿宋"/>
          <w:b w:val="0"/>
          <w:color w:val="auto"/>
          <w:kern w:val="2"/>
          <w:sz w:val="32"/>
          <w:szCs w:val="32"/>
          <w:lang w:val="en-US" w:eastAsia="zh-CN" w:bidi="ar-SA"/>
        </w:rPr>
        <w:t>山东环绿康新材料科技有限公司，</w:t>
      </w:r>
      <w:r>
        <w:rPr>
          <w:rFonts w:hint="default" w:ascii="仿宋" w:hAnsi="仿宋" w:eastAsia="仿宋" w:cs="仿宋"/>
          <w:b w:val="0"/>
          <w:color w:val="auto"/>
          <w:kern w:val="2"/>
          <w:sz w:val="32"/>
          <w:szCs w:val="32"/>
          <w:lang w:val="en-US" w:eastAsia="zh-CN" w:bidi="ar-SA"/>
        </w:rPr>
        <w:t>按照《山东省也方标准管理办法》关于地方标准制修订工作的程序和要求，于</w:t>
      </w:r>
      <w:r>
        <w:rPr>
          <w:rFonts w:hint="eastAsia" w:ascii="仿宋" w:hAnsi="仿宋" w:eastAsia="仿宋" w:cs="仿宋"/>
          <w:b w:val="0"/>
          <w:color w:val="auto"/>
          <w:kern w:val="2"/>
          <w:sz w:val="32"/>
          <w:szCs w:val="32"/>
          <w:lang w:val="en-US" w:eastAsia="zh-CN" w:bidi="ar-SA"/>
        </w:rPr>
        <w:t>2</w:t>
      </w:r>
      <w:r>
        <w:rPr>
          <w:rFonts w:hint="default" w:ascii="仿宋" w:hAnsi="仿宋" w:eastAsia="仿宋" w:cs="仿宋"/>
          <w:b w:val="0"/>
          <w:color w:val="auto"/>
          <w:kern w:val="2"/>
          <w:sz w:val="32"/>
          <w:szCs w:val="32"/>
          <w:lang w:val="en-US" w:eastAsia="zh-CN" w:bidi="ar-SA"/>
        </w:rPr>
        <w:t>022年11月，组织有关技术人员开展该标准的调研工作:</w:t>
      </w:r>
    </w:p>
    <w:p w14:paraId="481F1C48">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其间收集整理了国内外相关标准和规范，包括</w:t>
      </w:r>
      <w:r>
        <w:rPr>
          <w:rFonts w:hint="eastAsia" w:ascii="仿宋" w:hAnsi="仿宋" w:eastAsia="仿宋" w:cs="仿宋"/>
          <w:b w:val="0"/>
          <w:color w:val="auto"/>
          <w:kern w:val="2"/>
          <w:sz w:val="32"/>
          <w:szCs w:val="32"/>
          <w:lang w:val="en-US" w:eastAsia="zh-CN" w:bidi="ar-SA"/>
        </w:rPr>
        <w:t>GB 16668-2010《干粉灭火系统及部件通用技术条件》</w:t>
      </w:r>
      <w:r>
        <w:rPr>
          <w:rFonts w:hint="default" w:ascii="仿宋" w:hAnsi="仿宋" w:eastAsia="仿宋" w:cs="仿宋"/>
          <w:b w:val="0"/>
          <w:color w:val="auto"/>
          <w:kern w:val="2"/>
          <w:sz w:val="32"/>
          <w:szCs w:val="32"/>
          <w:lang w:val="en-US" w:eastAsia="zh-CN" w:bidi="ar-SA"/>
        </w:rPr>
        <w:t>、GB25972《气体灭火系统及部件》等。</w:t>
      </w:r>
      <w:r>
        <w:rPr>
          <w:rFonts w:hint="eastAsia" w:ascii="仿宋" w:hAnsi="仿宋" w:eastAsia="仿宋" w:cs="仿宋"/>
          <w:b w:val="0"/>
          <w:color w:val="auto"/>
          <w:kern w:val="2"/>
          <w:sz w:val="32"/>
          <w:szCs w:val="32"/>
          <w:lang w:val="en-US" w:eastAsia="zh-CN" w:bidi="ar-SA"/>
        </w:rPr>
        <w:t>详细了解国家标准、行业标准对超细干粉灭火剂及灭火系统有关技术参数的规定。在此</w:t>
      </w:r>
      <w:r>
        <w:rPr>
          <w:rFonts w:hint="default" w:ascii="仿宋" w:hAnsi="仿宋" w:eastAsia="仿宋" w:cs="仿宋"/>
          <w:b w:val="0"/>
          <w:color w:val="auto"/>
          <w:kern w:val="2"/>
          <w:sz w:val="32"/>
          <w:szCs w:val="32"/>
          <w:lang w:val="en-US" w:eastAsia="zh-CN" w:bidi="ar-SA"/>
        </w:rPr>
        <w:t>基础上，完成了《</w:t>
      </w: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》草案稿。</w:t>
      </w:r>
    </w:p>
    <w:p w14:paraId="7057D5E8">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（2）征求意见稿起草阶段</w:t>
      </w:r>
    </w:p>
    <w:p w14:paraId="1D56692D">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2023年2月，</w:t>
      </w:r>
      <w:r>
        <w:rPr>
          <w:rFonts w:hint="default" w:ascii="仿宋" w:hAnsi="仿宋" w:eastAsia="仿宋" w:cs="仿宋"/>
          <w:b w:val="0"/>
          <w:color w:val="auto"/>
          <w:kern w:val="2"/>
          <w:sz w:val="32"/>
          <w:szCs w:val="32"/>
          <w:lang w:val="en-US" w:eastAsia="zh-CN" w:bidi="ar-SA"/>
        </w:rPr>
        <w:t>采用网络视频会议</w:t>
      </w:r>
      <w:r>
        <w:rPr>
          <w:rFonts w:hint="eastAsia" w:ascii="仿宋" w:hAnsi="仿宋" w:eastAsia="仿宋" w:cs="仿宋"/>
          <w:b w:val="0"/>
          <w:color w:val="auto"/>
          <w:kern w:val="2"/>
          <w:sz w:val="32"/>
          <w:szCs w:val="32"/>
          <w:lang w:val="en-US" w:eastAsia="zh-CN" w:bidi="ar-SA"/>
        </w:rPr>
        <w:t>等</w:t>
      </w:r>
      <w:r>
        <w:rPr>
          <w:rFonts w:hint="default" w:ascii="仿宋" w:hAnsi="仿宋" w:eastAsia="仿宋" w:cs="仿宋"/>
          <w:b w:val="0"/>
          <w:color w:val="auto"/>
          <w:kern w:val="2"/>
          <w:sz w:val="32"/>
          <w:szCs w:val="32"/>
          <w:lang w:val="en-US" w:eastAsia="zh-CN" w:bidi="ar-SA"/>
        </w:rPr>
        <w:t>形式召开了《</w:t>
      </w: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》编制组成立暨第一次工作会议，会议对草案稿进行了修改和完善。</w:t>
      </w:r>
      <w:r>
        <w:rPr>
          <w:rFonts w:hint="eastAsia" w:ascii="仿宋" w:hAnsi="仿宋" w:eastAsia="仿宋" w:cs="仿宋"/>
          <w:b w:val="0"/>
          <w:color w:val="auto"/>
          <w:kern w:val="2"/>
          <w:sz w:val="32"/>
          <w:szCs w:val="32"/>
          <w:lang w:val="en-US" w:eastAsia="zh-CN" w:bidi="ar-SA"/>
        </w:rPr>
        <w:t>对</w:t>
      </w:r>
      <w:r>
        <w:rPr>
          <w:rFonts w:hint="default" w:ascii="仿宋" w:hAnsi="仿宋" w:eastAsia="仿宋" w:cs="仿宋"/>
          <w:b w:val="0"/>
          <w:color w:val="auto"/>
          <w:kern w:val="2"/>
          <w:sz w:val="32"/>
          <w:szCs w:val="32"/>
          <w:lang w:val="en-US" w:eastAsia="zh-CN" w:bidi="ar-SA"/>
        </w:rPr>
        <w:t>《</w:t>
      </w: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》草案校核与编辑进行了任务分工，经过多次讨论，最终形成了《</w:t>
      </w: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》征求意见稿。</w:t>
      </w:r>
    </w:p>
    <w:p w14:paraId="6FFFA752">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（3）</w:t>
      </w:r>
      <w:r>
        <w:rPr>
          <w:rFonts w:hint="eastAsia" w:ascii="仿宋" w:hAnsi="仿宋" w:eastAsia="仿宋" w:cs="仿宋"/>
          <w:b w:val="0"/>
          <w:color w:val="auto"/>
          <w:kern w:val="2"/>
          <w:sz w:val="32"/>
          <w:szCs w:val="32"/>
          <w:lang w:val="en-US" w:eastAsia="zh-CN" w:bidi="ar-SA"/>
        </w:rPr>
        <w:t>送审稿形成阶段</w:t>
      </w:r>
    </w:p>
    <w:p w14:paraId="5F5FDF32">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bookmarkStart w:id="3" w:name="_Toc9139"/>
      <w:r>
        <w:rPr>
          <w:rFonts w:hint="eastAsia" w:ascii="仿宋" w:hAnsi="仿宋" w:eastAsia="仿宋" w:cs="仿宋"/>
          <w:b w:val="0"/>
          <w:color w:val="auto"/>
          <w:kern w:val="2"/>
          <w:sz w:val="32"/>
          <w:szCs w:val="32"/>
          <w:lang w:val="en-US" w:eastAsia="zh-CN" w:bidi="ar-SA"/>
        </w:rPr>
        <w:t>2023年5月，征集意见，形成送审稿。起草组征求部分单位及专家意见。发送“地方</w:t>
      </w:r>
      <w:r>
        <w:rPr>
          <w:rFonts w:hint="default" w:ascii="仿宋" w:hAnsi="仿宋" w:eastAsia="仿宋" w:cs="仿宋"/>
          <w:b w:val="0"/>
          <w:color w:val="auto"/>
          <w:kern w:val="2"/>
          <w:sz w:val="32"/>
          <w:szCs w:val="32"/>
          <w:lang w:val="en-US" w:eastAsia="zh-CN" w:bidi="ar-SA"/>
        </w:rPr>
        <w:t>标准草案</w:t>
      </w:r>
      <w:r>
        <w:rPr>
          <w:rFonts w:hint="eastAsia" w:ascii="仿宋" w:hAnsi="仿宋" w:eastAsia="仿宋" w:cs="仿宋"/>
          <w:b w:val="0"/>
          <w:color w:val="auto"/>
          <w:kern w:val="2"/>
          <w:sz w:val="32"/>
          <w:szCs w:val="32"/>
          <w:lang w:val="en-US" w:eastAsia="zh-CN" w:bidi="ar-SA"/>
        </w:rPr>
        <w:t>征求意见稿”的单位或专家数10个。收到回函的单位或专家数8个。收到“地方标准草案征求意见稿”后，回函并有建议或意见的单位或专家数3个没有回函的单位或专家数2个。标准起草组召开工作会议，根据征求反馈意见，对征求意见稿作进一步修改和完善。</w:t>
      </w:r>
    </w:p>
    <w:p w14:paraId="2ADB1732">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（4）报批稿形成阶段</w:t>
      </w:r>
    </w:p>
    <w:p w14:paraId="782238FE">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2024年5月，山东省消防救援总队在济南市组织召开了《超细干粉灭火系统技术规范》（立项编号：2022-T-106）山东省地方标准专家审查会议，山东省市场监管局对审查会议进行监督指导。来自中国人民警察大学、应急管理部天津消防研究所、山东省人民防空建筑设计院有限责任公司、青岛亿海应急安全管理研究院、山东省标准化研究院、山东建大建设工程施工图审查有限公司、山东新科消防职业技能培训学校、济南市消防救援支队等单位共9名专家组成了审查委员会。审查委员会听取了标准编制情况汇报，对标准文本进行了逐章、逐条审查，对标准编制说明等进行了审查。完成了报批稿。</w:t>
      </w:r>
    </w:p>
    <w:p w14:paraId="4A7569F5">
      <w:pPr>
        <w:pStyle w:val="2"/>
        <w:spacing w:before="120" w:after="120"/>
        <w:rPr>
          <w:rFonts w:hint="default" w:ascii="Times New Roman" w:hAnsi="Times New Roman" w:eastAsia="宋体" w:cs="Times New Roman"/>
          <w:b/>
          <w:bCs w:val="0"/>
          <w:kern w:val="44"/>
          <w:sz w:val="32"/>
          <w:szCs w:val="32"/>
          <w:lang w:val="en-US" w:eastAsia="zh-CN" w:bidi="ar-SA"/>
        </w:rPr>
      </w:pPr>
      <w:r>
        <w:rPr>
          <w:rFonts w:hint="default" w:ascii="Times New Roman" w:hAnsi="Times New Roman" w:eastAsia="宋体" w:cs="Times New Roman"/>
          <w:b/>
          <w:bCs w:val="0"/>
          <w:kern w:val="44"/>
          <w:sz w:val="32"/>
          <w:szCs w:val="32"/>
          <w:lang w:val="en-US" w:eastAsia="zh-CN" w:bidi="ar-SA"/>
        </w:rPr>
        <w:t>二、</w:t>
      </w:r>
      <w:r>
        <w:rPr>
          <w:rFonts w:hint="eastAsia" w:ascii="Times New Roman" w:hAnsi="Times New Roman" w:eastAsia="宋体" w:cs="Times New Roman"/>
          <w:b/>
          <w:bCs w:val="0"/>
          <w:kern w:val="44"/>
          <w:sz w:val="32"/>
          <w:szCs w:val="32"/>
          <w:lang w:val="en-US" w:eastAsia="zh-CN" w:bidi="ar-SA"/>
        </w:rPr>
        <w:t>地方</w:t>
      </w:r>
      <w:r>
        <w:rPr>
          <w:rFonts w:hint="default" w:ascii="Times New Roman" w:hAnsi="Times New Roman" w:eastAsia="宋体" w:cs="Times New Roman"/>
          <w:b/>
          <w:bCs w:val="0"/>
          <w:kern w:val="44"/>
          <w:sz w:val="32"/>
          <w:szCs w:val="32"/>
          <w:lang w:val="en-US" w:eastAsia="zh-CN" w:bidi="ar-SA"/>
        </w:rPr>
        <w:t>标准编制原则</w:t>
      </w:r>
      <w:r>
        <w:rPr>
          <w:rFonts w:hint="eastAsia" w:ascii="Times New Roman" w:hAnsi="Times New Roman" w:eastAsia="宋体" w:cs="Times New Roman"/>
          <w:b/>
          <w:bCs w:val="0"/>
          <w:kern w:val="44"/>
          <w:sz w:val="32"/>
          <w:szCs w:val="32"/>
          <w:lang w:val="en-US" w:eastAsia="zh-CN" w:bidi="ar-SA"/>
        </w:rPr>
        <w:t>和确定标准主要技术内容的论据</w:t>
      </w:r>
      <w:bookmarkEnd w:id="3"/>
    </w:p>
    <w:p w14:paraId="52B0F107">
      <w:pPr>
        <w:pStyle w:val="3"/>
        <w:keepNext/>
        <w:keepLines/>
        <w:pageBreakBefore w:val="0"/>
        <w:widowControl w:val="0"/>
        <w:kinsoku/>
        <w:wordWrap/>
        <w:overflowPunct/>
        <w:topLinePunct w:val="0"/>
        <w:autoSpaceDE/>
        <w:autoSpaceDN/>
        <w:bidi w:val="0"/>
        <w:adjustRightInd/>
        <w:snapToGrid/>
        <w:spacing w:before="120" w:line="413" w:lineRule="auto"/>
        <w:ind w:left="0" w:leftChars="0" w:firstLine="0" w:firstLineChars="0"/>
        <w:textAlignment w:val="auto"/>
        <w:rPr>
          <w:rFonts w:hint="default" w:ascii="Times New Roman" w:hAnsi="Times New Roman" w:eastAsia="宋体" w:cs="Times New Roman"/>
          <w:b/>
          <w:bCs w:val="0"/>
          <w:kern w:val="44"/>
          <w:sz w:val="32"/>
          <w:szCs w:val="32"/>
          <w:lang w:val="en-US" w:eastAsia="zh-CN" w:bidi="ar-SA"/>
        </w:rPr>
      </w:pPr>
      <w:r>
        <w:rPr>
          <w:rFonts w:hint="eastAsia" w:ascii="Times New Roman" w:hAnsi="Times New Roman" w:eastAsia="宋体" w:cs="Times New Roman"/>
          <w:b/>
          <w:bCs w:val="0"/>
          <w:kern w:val="44"/>
          <w:sz w:val="32"/>
          <w:szCs w:val="32"/>
          <w:lang w:val="en-US" w:eastAsia="zh-CN" w:bidi="ar-SA"/>
        </w:rPr>
        <w:t>（一）</w:t>
      </w:r>
      <w:r>
        <w:rPr>
          <w:rFonts w:hint="default" w:ascii="Times New Roman" w:hAnsi="Times New Roman" w:eastAsia="宋体" w:cs="Times New Roman"/>
          <w:b/>
          <w:bCs w:val="0"/>
          <w:kern w:val="44"/>
          <w:sz w:val="32"/>
          <w:szCs w:val="32"/>
          <w:lang w:val="en-US" w:eastAsia="zh-CN" w:bidi="ar-SA"/>
        </w:rPr>
        <w:t>标准编制原则</w:t>
      </w:r>
    </w:p>
    <w:p w14:paraId="5DC9EF26">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严格按照“依法依规原则”，根据地方标准制定的法定程序和编制规则进行编制。根据</w:t>
      </w:r>
      <w:r>
        <w:rPr>
          <w:rFonts w:hint="eastAsia" w:ascii="仿宋" w:hAnsi="仿宋" w:eastAsia="仿宋" w:cs="仿宋"/>
          <w:b w:val="0"/>
          <w:color w:val="auto"/>
          <w:kern w:val="2"/>
          <w:sz w:val="32"/>
          <w:szCs w:val="32"/>
          <w:lang w:val="en-US" w:eastAsia="zh-CN" w:bidi="ar-SA"/>
        </w:rPr>
        <w:t>山东省市场监管局下达的年度地方标准立项计划（项目计划编号：2022-T-106）。</w:t>
      </w:r>
      <w:r>
        <w:rPr>
          <w:rFonts w:hint="default" w:ascii="仿宋" w:hAnsi="仿宋" w:eastAsia="仿宋" w:cs="仿宋"/>
          <w:b w:val="0"/>
          <w:color w:val="auto"/>
          <w:kern w:val="2"/>
          <w:sz w:val="32"/>
          <w:szCs w:val="32"/>
          <w:lang w:val="en-US" w:eastAsia="zh-CN" w:bidi="ar-SA"/>
        </w:rPr>
        <w:t>本标准按照我国GB</w:t>
      </w:r>
      <w:r>
        <w:rPr>
          <w:rFonts w:hint="eastAsia" w:ascii="仿宋" w:hAnsi="仿宋" w:eastAsia="仿宋" w:cs="仿宋"/>
          <w:b w:val="0"/>
          <w:color w:val="auto"/>
          <w:kern w:val="2"/>
          <w:sz w:val="32"/>
          <w:szCs w:val="32"/>
          <w:lang w:val="en-US" w:eastAsia="zh-CN" w:bidi="ar-SA"/>
        </w:rPr>
        <w:t>/</w:t>
      </w:r>
      <w:r>
        <w:rPr>
          <w:rFonts w:hint="default" w:ascii="仿宋" w:hAnsi="仿宋" w:eastAsia="仿宋" w:cs="仿宋"/>
          <w:b w:val="0"/>
          <w:color w:val="auto"/>
          <w:kern w:val="2"/>
          <w:sz w:val="32"/>
          <w:szCs w:val="32"/>
          <w:lang w:val="en-US" w:eastAsia="zh-CN" w:bidi="ar-SA"/>
        </w:rPr>
        <w:t xml:space="preserve">T 1.1-2020 </w:t>
      </w:r>
      <w:r>
        <w:rPr>
          <w:rFonts w:hint="eastAsia" w:ascii="仿宋" w:hAnsi="仿宋" w:eastAsia="仿宋" w:cs="仿宋"/>
          <w:b w:val="0"/>
          <w:color w:val="auto"/>
          <w:kern w:val="2"/>
          <w:sz w:val="32"/>
          <w:szCs w:val="32"/>
          <w:lang w:val="en-US" w:eastAsia="zh-CN" w:bidi="ar-SA"/>
        </w:rPr>
        <w:t>《标准化工作导则 第1部分：标准化文件的结构和起草规则》规则起草。</w:t>
      </w:r>
      <w:r>
        <w:rPr>
          <w:rFonts w:hint="default" w:ascii="仿宋" w:hAnsi="仿宋" w:eastAsia="仿宋" w:cs="仿宋"/>
          <w:b w:val="0"/>
          <w:color w:val="auto"/>
          <w:kern w:val="2"/>
          <w:sz w:val="32"/>
          <w:szCs w:val="32"/>
          <w:lang w:val="en-US" w:eastAsia="zh-CN" w:bidi="ar-SA"/>
        </w:rPr>
        <w:t>编制过程中，</w:t>
      </w:r>
      <w:r>
        <w:rPr>
          <w:rFonts w:hint="eastAsia" w:ascii="仿宋" w:hAnsi="仿宋" w:eastAsia="仿宋" w:cs="仿宋"/>
          <w:b w:val="0"/>
          <w:color w:val="auto"/>
          <w:kern w:val="2"/>
          <w:sz w:val="32"/>
          <w:szCs w:val="32"/>
          <w:lang w:val="en-US" w:eastAsia="zh-CN" w:bidi="ar-SA"/>
        </w:rPr>
        <w:t>在原标准基础上进行了以下</w:t>
      </w:r>
      <w:r>
        <w:rPr>
          <w:rFonts w:hint="default" w:ascii="仿宋" w:hAnsi="仿宋" w:eastAsia="仿宋" w:cs="仿宋"/>
          <w:b w:val="0"/>
          <w:color w:val="auto"/>
          <w:kern w:val="2"/>
          <w:sz w:val="32"/>
          <w:szCs w:val="32"/>
          <w:lang w:val="en-US" w:eastAsia="zh-CN" w:bidi="ar-SA"/>
        </w:rPr>
        <w:t>修改：</w:t>
      </w:r>
    </w:p>
    <w:p w14:paraId="105D98E5">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删除了“通则”的有关内容（见2009年版的第1章）；</w:t>
      </w:r>
    </w:p>
    <w:p w14:paraId="363445A5">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增加了“范围”的有关内容（见第1章）；</w:t>
      </w:r>
    </w:p>
    <w:p w14:paraId="0C6A5944">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更改了“术语和符号”的有关内容（见第2章，2009年版的第2章）；</w:t>
      </w:r>
    </w:p>
    <w:p w14:paraId="7F9DA2B5">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更改了“管网全淹没灭火系统”的有关内容（见4.2.2，2009年版的3.2.2）；</w:t>
      </w:r>
    </w:p>
    <w:p w14:paraId="55F7A72C">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增加了“无管网灭火系统”的有关内容（见4.3.5）；</w:t>
      </w:r>
    </w:p>
    <w:p w14:paraId="3742C6E0">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更改了“泄压口”的有关内容（见4.4.2，2009年版的3.2.6）；</w:t>
      </w:r>
    </w:p>
    <w:p w14:paraId="35B82531">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更改了“无管网局部应用灭火系统”的有关内容（见4.6.1，2009年版的3.5.1）；</w:t>
      </w:r>
    </w:p>
    <w:p w14:paraId="3493E9CB">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更改了“表5”的有关内容（见4.6.2，2009年版的3.5.2）；</w:t>
      </w:r>
    </w:p>
    <w:p w14:paraId="5CC136F8">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删除了“预制式灭火装置”的有关内容（见2009年版的3.6）；</w:t>
      </w:r>
    </w:p>
    <w:p w14:paraId="655CEDF1">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增加了“柜式超细干粉灭火装置”的有关内容（见4.4.7）；</w:t>
      </w:r>
    </w:p>
    <w:p w14:paraId="19D0185B">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更改了“管网计算”的有关内容（见第5章，2009年版的第4章）；</w:t>
      </w:r>
    </w:p>
    <w:p w14:paraId="5AB48995">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更改了“系统组件”的有关内容（见6.2.1，2009年版的5.2.1）；</w:t>
      </w:r>
    </w:p>
    <w:p w14:paraId="197453E4">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更改了“管网灭火系统的控制与操作”的有关内容（见7.1.1，2009年版的6.1.1）；</w:t>
      </w:r>
    </w:p>
    <w:p w14:paraId="727F9421">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更改了“无管网灭火系统的控制与操作”的有关内容（见7.2.1，2009年版的6.2.1）。</w:t>
      </w:r>
    </w:p>
    <w:p w14:paraId="6263B85D">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本标准送审稿按照上述规定</w:t>
      </w:r>
      <w:r>
        <w:rPr>
          <w:rFonts w:hint="eastAsia" w:ascii="仿宋" w:hAnsi="仿宋" w:eastAsia="仿宋" w:cs="仿宋"/>
          <w:b w:val="0"/>
          <w:color w:val="auto"/>
          <w:kern w:val="2"/>
          <w:sz w:val="32"/>
          <w:szCs w:val="32"/>
          <w:lang w:val="en-US" w:eastAsia="zh-CN" w:bidi="ar-SA"/>
        </w:rPr>
        <w:t>修订</w:t>
      </w:r>
      <w:r>
        <w:rPr>
          <w:rFonts w:hint="default" w:ascii="仿宋" w:hAnsi="仿宋" w:eastAsia="仿宋" w:cs="仿宋"/>
          <w:b w:val="0"/>
          <w:color w:val="auto"/>
          <w:kern w:val="2"/>
          <w:sz w:val="32"/>
          <w:szCs w:val="32"/>
          <w:lang w:val="en-US" w:eastAsia="zh-CN" w:bidi="ar-SA"/>
        </w:rPr>
        <w:t>，同时遵循以下编制原则：</w:t>
      </w:r>
    </w:p>
    <w:p w14:paraId="78BF3CAE">
      <w:pPr>
        <w:autoSpaceDE w:val="0"/>
        <w:autoSpaceDN w:val="0"/>
        <w:adjustRightInd w:val="0"/>
        <w:spacing w:line="480" w:lineRule="exact"/>
        <w:ind w:firstLine="800" w:firstLineChars="25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1</w:t>
      </w:r>
      <w:r>
        <w:rPr>
          <w:rFonts w:hint="eastAsia" w:ascii="仿宋" w:hAnsi="仿宋" w:eastAsia="仿宋" w:cs="仿宋"/>
          <w:b w:val="0"/>
          <w:color w:val="auto"/>
          <w:kern w:val="2"/>
          <w:sz w:val="32"/>
          <w:szCs w:val="32"/>
          <w:lang w:val="en-US" w:eastAsia="zh-CN" w:bidi="ar-SA"/>
        </w:rPr>
        <w:t>)</w:t>
      </w:r>
      <w:r>
        <w:rPr>
          <w:rFonts w:hint="default" w:ascii="仿宋" w:hAnsi="仿宋" w:eastAsia="仿宋" w:cs="仿宋"/>
          <w:b w:val="0"/>
          <w:color w:val="auto"/>
          <w:kern w:val="2"/>
          <w:sz w:val="32"/>
          <w:szCs w:val="32"/>
          <w:lang w:val="en-US" w:eastAsia="zh-CN" w:bidi="ar-SA"/>
        </w:rPr>
        <w:t xml:space="preserve"> 应符合国家有关法律、法规及相关现行的安全技术标准；</w:t>
      </w:r>
    </w:p>
    <w:p w14:paraId="05A263BC">
      <w:pPr>
        <w:autoSpaceDE w:val="0"/>
        <w:autoSpaceDN w:val="0"/>
        <w:adjustRightInd w:val="0"/>
        <w:spacing w:line="480" w:lineRule="exact"/>
        <w:ind w:firstLine="800" w:firstLineChars="250"/>
        <w:jc w:val="left"/>
        <w:rPr>
          <w:rFonts w:hint="default" w:ascii="Times New Roman" w:hAnsi="Times New Roman" w:cs="Times New Roman"/>
          <w:sz w:val="24"/>
        </w:rPr>
      </w:pPr>
      <w:r>
        <w:rPr>
          <w:rFonts w:hint="default" w:ascii="仿宋" w:hAnsi="仿宋" w:eastAsia="仿宋" w:cs="仿宋"/>
          <w:b w:val="0"/>
          <w:color w:val="auto"/>
          <w:kern w:val="2"/>
          <w:sz w:val="32"/>
          <w:szCs w:val="32"/>
          <w:lang w:val="en-US" w:eastAsia="zh-CN" w:bidi="ar-SA"/>
        </w:rPr>
        <w:t>2</w:t>
      </w:r>
      <w:r>
        <w:rPr>
          <w:rFonts w:hint="eastAsia" w:ascii="仿宋" w:hAnsi="仿宋" w:eastAsia="仿宋" w:cs="仿宋"/>
          <w:b w:val="0"/>
          <w:color w:val="auto"/>
          <w:kern w:val="2"/>
          <w:sz w:val="32"/>
          <w:szCs w:val="32"/>
          <w:lang w:val="en-US" w:eastAsia="zh-CN" w:bidi="ar-SA"/>
        </w:rPr>
        <w:t>)</w:t>
      </w:r>
      <w:r>
        <w:rPr>
          <w:rFonts w:hint="default" w:ascii="仿宋" w:hAnsi="仿宋" w:eastAsia="仿宋" w:cs="仿宋"/>
          <w:b w:val="0"/>
          <w:color w:val="auto"/>
          <w:kern w:val="2"/>
          <w:sz w:val="32"/>
          <w:szCs w:val="32"/>
          <w:lang w:val="en-US" w:eastAsia="zh-CN" w:bidi="ar-SA"/>
        </w:rPr>
        <w:t xml:space="preserve"> 语言简捷、准确，名词、术语、符号、计量单位等应</w:t>
      </w:r>
      <w:r>
        <w:rPr>
          <w:rFonts w:hint="default" w:ascii="Times New Roman" w:hAnsi="Times New Roman" w:cs="Times New Roman"/>
          <w:sz w:val="24"/>
        </w:rPr>
        <w:t>符合国家有关标准。</w:t>
      </w:r>
    </w:p>
    <w:p w14:paraId="2A843E2B">
      <w:pPr>
        <w:pStyle w:val="3"/>
        <w:keepNext/>
        <w:keepLines/>
        <w:pageBreakBefore w:val="0"/>
        <w:widowControl w:val="0"/>
        <w:kinsoku/>
        <w:wordWrap/>
        <w:overflowPunct/>
        <w:topLinePunct w:val="0"/>
        <w:autoSpaceDE/>
        <w:autoSpaceDN/>
        <w:bidi w:val="0"/>
        <w:adjustRightInd/>
        <w:snapToGrid/>
        <w:spacing w:before="120" w:line="413" w:lineRule="auto"/>
        <w:ind w:left="0" w:leftChars="0" w:firstLine="0" w:firstLineChars="0"/>
        <w:textAlignment w:val="auto"/>
        <w:rPr>
          <w:rFonts w:hint="eastAsia" w:ascii="Times New Roman" w:hAnsi="Times New Roman" w:eastAsia="宋体" w:cs="Times New Roman"/>
          <w:b/>
          <w:bCs w:val="0"/>
          <w:kern w:val="44"/>
          <w:sz w:val="32"/>
          <w:szCs w:val="32"/>
          <w:lang w:val="en-US" w:eastAsia="zh-CN" w:bidi="ar-SA"/>
        </w:rPr>
      </w:pPr>
      <w:r>
        <w:rPr>
          <w:rFonts w:hint="eastAsia" w:ascii="Times New Roman" w:hAnsi="Times New Roman" w:eastAsia="宋体" w:cs="Times New Roman"/>
          <w:b/>
          <w:bCs w:val="0"/>
          <w:kern w:val="44"/>
          <w:sz w:val="32"/>
          <w:szCs w:val="32"/>
          <w:lang w:val="en-US" w:eastAsia="zh-CN" w:bidi="ar-SA"/>
        </w:rPr>
        <w:t>（二）</w:t>
      </w:r>
      <w:bookmarkStart w:id="4" w:name="OLE_LINK2"/>
      <w:r>
        <w:rPr>
          <w:rFonts w:hint="eastAsia" w:ascii="Times New Roman" w:hAnsi="Times New Roman" w:eastAsia="宋体" w:cs="Times New Roman"/>
          <w:b/>
          <w:bCs w:val="0"/>
          <w:kern w:val="44"/>
          <w:sz w:val="32"/>
          <w:szCs w:val="32"/>
          <w:lang w:val="en-US" w:eastAsia="zh-CN" w:bidi="ar-SA"/>
        </w:rPr>
        <w:t>主要技术内容</w:t>
      </w:r>
      <w:bookmarkEnd w:id="4"/>
    </w:p>
    <w:p w14:paraId="1B4B4E81">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本标准根据DB37/T 1317－2009《超细干粉灭火系统设计、施工及验收规范》进行修订，共分为12章和7个附录，主要内容包括：范围、规范性引用文件、术语和定义、系统设计、管网计算、系统组件、控制与操作、安全要求、系统安装、系统调试、系统验收、维护管理。</w:t>
      </w:r>
    </w:p>
    <w:p w14:paraId="50708821">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1、2009年版的标准中引用的部分标准已更新，本次标准修订中对此做相应调整。</w:t>
      </w:r>
      <w:bookmarkStart w:id="5" w:name="_Toc235871876"/>
    </w:p>
    <w:p w14:paraId="0C399CE8">
      <w:pPr>
        <w:autoSpaceDE w:val="0"/>
        <w:autoSpaceDN w:val="0"/>
        <w:adjustRightInd w:val="0"/>
        <w:spacing w:line="480" w:lineRule="exact"/>
        <w:ind w:firstLine="800" w:firstLineChars="250"/>
        <w:jc w:val="left"/>
        <w:rPr>
          <w:rFonts w:hint="eastAsia" w:ascii="仿宋" w:hAnsi="仿宋" w:eastAsia="仿宋" w:cs="仿宋"/>
          <w:b w:val="0"/>
          <w:color w:val="auto"/>
          <w:kern w:val="2"/>
          <w:sz w:val="32"/>
          <w:szCs w:val="32"/>
          <w:lang w:val="en-US" w:eastAsia="zh-CN" w:bidi="ar-SA"/>
        </w:rPr>
      </w:pPr>
      <w:bookmarkStart w:id="6" w:name="_Toc235871872"/>
      <w:r>
        <w:rPr>
          <w:rFonts w:hint="eastAsia" w:ascii="仿宋" w:hAnsi="仿宋" w:eastAsia="仿宋" w:cs="仿宋"/>
          <w:b w:val="0"/>
          <w:color w:val="auto"/>
          <w:kern w:val="2"/>
          <w:sz w:val="32"/>
          <w:szCs w:val="32"/>
          <w:lang w:val="en-US" w:eastAsia="zh-CN" w:bidi="ar-SA"/>
        </w:rPr>
        <w:t>2、根据管网灭火系统的实际应用，结合设计单位的反馈意见，简化超细干粉灭火剂管网灭火系统中超细干粉灭火剂的设计用量计算公式。修订后超细干粉灭火剂的设计用量应按下列公式计算：</w:t>
      </w:r>
      <w:bookmarkEnd w:id="6"/>
    </w:p>
    <w:p w14:paraId="75B4D117">
      <w:pPr>
        <w:numPr>
          <w:ilvl w:val="0"/>
          <w:numId w:val="0"/>
        </w:numPr>
        <w:adjustRightInd w:val="0"/>
        <w:snapToGrid w:val="0"/>
        <w:spacing w:line="480" w:lineRule="exact"/>
        <w:rPr>
          <w:rFonts w:hint="eastAsia" w:ascii="Times New Roman" w:hAnsi="Times New Roman" w:eastAsia="宋体" w:cs="Times New Roman"/>
          <w:kern w:val="2"/>
          <w:sz w:val="24"/>
          <w:szCs w:val="24"/>
          <w:lang w:val="en-US" w:eastAsia="zh-CN" w:bidi="ar-SA"/>
        </w:rPr>
      </w:pPr>
    </w:p>
    <w:p w14:paraId="2DE472DF">
      <w:pPr>
        <w:pStyle w:val="16"/>
        <w:ind w:firstLine="1280" w:firstLineChars="400"/>
        <w:jc w:val="both"/>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25" o:spt="75" type="#_x0000_t75" style="height:20.15pt;width:185.1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14:paraId="751BA1DA">
      <w:pPr>
        <w:pStyle w:val="16"/>
        <w:spacing w:line="36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 xml:space="preserve">式中：  </w:t>
      </w:r>
    </w:p>
    <w:p w14:paraId="5A0C3932">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26" o:spt="75" type="#_x0000_t75" style="height:10pt;width:11pt;" o:ole="t" filled="f" o:preferrelative="t" stroked="f" coordsize="21600,21600">
            <v:path/>
            <v:fill on="f" focussize="0,0"/>
            <v:stroke on="f"/>
            <v:imagedata r:id="rId9" o:title=""/>
            <o:lock v:ext="edit" grouping="f" rotation="f" text="f" aspectratio="t"/>
            <w10:wrap type="none"/>
            <w10:anchorlock/>
          </v:shape>
          <o:OLEObject Type="Embed" ProgID="Equation.3" ShapeID="_x0000_i1026" DrawAspect="Content" ObjectID="_1468075726" r:id="rId8">
            <o:LockedField>false</o:LockedField>
          </o:OLEObject>
        </w:object>
      </w:r>
      <w:r>
        <w:rPr>
          <w:rFonts w:hint="eastAsia" w:ascii="仿宋" w:hAnsi="仿宋" w:eastAsia="仿宋" w:cs="仿宋"/>
          <w:b w:val="0"/>
          <w:color w:val="auto"/>
          <w:kern w:val="2"/>
          <w:sz w:val="32"/>
          <w:szCs w:val="32"/>
          <w:lang w:val="en-US" w:eastAsia="zh-CN" w:bidi="ar-SA"/>
        </w:rPr>
        <w:t>——超细干粉灭火剂设计用量，单位为千克（kg）；</w:t>
      </w:r>
    </w:p>
    <w:p w14:paraId="69F4DA9E">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27" o:spt="75" type="#_x0000_t75" style="height:13.5pt;width:11.3pt;" o:ole="t" filled="f" o:preferrelative="t" stroked="f" coordsize="21600,216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仿宋" w:hAnsi="仿宋" w:eastAsia="仿宋" w:cs="仿宋"/>
          <w:b w:val="0"/>
          <w:color w:val="auto"/>
          <w:kern w:val="2"/>
          <w:sz w:val="32"/>
          <w:szCs w:val="32"/>
          <w:lang w:val="en-US" w:eastAsia="zh-CN" w:bidi="ar-SA"/>
        </w:rPr>
        <w:t>——超细干粉灭火剂设计灭火浓度，单位为千克每立方米（kg/m3）按第4.2.1条取值；</w:t>
      </w:r>
    </w:p>
    <w:p w14:paraId="026EE6AB">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28" o:spt="75" type="#_x0000_t75" style="height:15pt;width:13.95pt;" o:ole="t" filled="f" o:preferrelative="t" stroked="f" coordsize="21600,21600">
            <v:path/>
            <v:fill on="f" focussize="0,0"/>
            <v:stroke on="f"/>
            <v:imagedata r:id="rId13" o:title=""/>
            <o:lock v:ext="edit" grouping="f" rotation="f" text="f" aspectratio="t"/>
            <w10:wrap type="none"/>
            <w10:anchorlock/>
          </v:shape>
          <o:OLEObject Type="Embed" ProgID="Equation.3" ShapeID="_x0000_i1028" DrawAspect="Content" ObjectID="_1468075728" r:id="rId12">
            <o:LockedField>false</o:LockedField>
          </o:OLEObject>
        </w:object>
      </w:r>
      <w:r>
        <w:rPr>
          <w:rFonts w:hint="eastAsia" w:ascii="仿宋" w:hAnsi="仿宋" w:eastAsia="仿宋" w:cs="仿宋"/>
          <w:b w:val="0"/>
          <w:color w:val="auto"/>
          <w:kern w:val="2"/>
          <w:sz w:val="32"/>
          <w:szCs w:val="32"/>
          <w:lang w:val="en-US" w:eastAsia="zh-CN" w:bidi="ar-SA"/>
        </w:rPr>
        <w:t>——配置场所危险等级补偿系数，按表1取值；</w:t>
      </w:r>
    </w:p>
    <w:p w14:paraId="1D3E0187">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29" o:spt="75" type="#_x0000_t75" style="height:17pt;width:17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仿宋" w:hAnsi="仿宋" w:eastAsia="仿宋" w:cs="仿宋"/>
          <w:b w:val="0"/>
          <w:color w:val="auto"/>
          <w:kern w:val="2"/>
          <w:sz w:val="32"/>
          <w:szCs w:val="32"/>
          <w:lang w:val="en-US" w:eastAsia="zh-CN" w:bidi="ar-SA"/>
        </w:rPr>
        <w:t>——防护区不密封度补偿量（kg/㎡）；</w:t>
      </w:r>
    </w:p>
    <w:p w14:paraId="625897B2">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0" o:spt="75" type="#_x0000_t75" style="height:18pt;width:12.7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仿宋" w:hAnsi="仿宋" w:eastAsia="仿宋" w:cs="仿宋"/>
          <w:b w:val="0"/>
          <w:color w:val="auto"/>
          <w:kern w:val="2"/>
          <w:sz w:val="32"/>
          <w:szCs w:val="32"/>
          <w:lang w:val="en-US" w:eastAsia="zh-CN" w:bidi="ar-SA"/>
        </w:rPr>
        <w:t>——防护区容积，单位为立方米（m3）；</w:t>
      </w:r>
    </w:p>
    <w:p w14:paraId="41D415A4">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1" o:spt="75" type="#_x0000_t75" style="height:17pt;width:13.95pt;" o:ole="t" filled="f" o:preferrelative="t" stroked="f" coordsize="21600,21600">
            <v:path/>
            <v:fill on="f" focussize="0,0"/>
            <v:stroke on="f"/>
            <v:imagedata r:id="rId19" o:title=""/>
            <o:lock v:ext="edit" grouping="f" rotation="f" text="f" aspectratio="t"/>
            <w10:wrap type="none"/>
            <w10:anchorlock/>
          </v:shape>
          <o:OLEObject Type="Embed" ProgID="Equation.3" ShapeID="_x0000_i1031" DrawAspect="Content" ObjectID="_1468075731" r:id="rId18">
            <o:LockedField>false</o:LockedField>
          </o:OLEObject>
        </w:object>
      </w:r>
      <w:r>
        <w:rPr>
          <w:rFonts w:hint="eastAsia" w:ascii="仿宋" w:hAnsi="仿宋" w:eastAsia="仿宋" w:cs="仿宋"/>
          <w:b w:val="0"/>
          <w:color w:val="auto"/>
          <w:kern w:val="2"/>
          <w:sz w:val="32"/>
          <w:szCs w:val="32"/>
          <w:lang w:val="en-US" w:eastAsia="zh-CN" w:bidi="ar-SA"/>
        </w:rPr>
        <w:t>——防护区内不燃烧体和难燃烧体的总体积，单位为立方米（m3）。</w:t>
      </w:r>
    </w:p>
    <w:p w14:paraId="6355431C">
      <w:pPr>
        <w:pStyle w:val="31"/>
        <w:numPr>
          <w:ilvl w:val="0"/>
          <w:numId w:val="0"/>
        </w:numP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 </w:t>
      </w:r>
    </w:p>
    <w:p w14:paraId="6686AB3E">
      <w:pPr>
        <w:pStyle w:val="31"/>
        <w:numPr>
          <w:ilvl w:val="0"/>
          <w:numId w:val="0"/>
        </w:numPr>
        <w:ind w:firstLine="640" w:firstLineChars="20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3） 根据市场需求，泄压口的面积计算公式进行了修改，修订后泄压口面积，可按下列公式计算：</w:t>
      </w:r>
      <w:bookmarkEnd w:id="5"/>
    </w:p>
    <w:p w14:paraId="1F9F8988">
      <w:pPr>
        <w:pStyle w:val="16"/>
        <w:jc w:val="both"/>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2" o:spt="75" type="#_x0000_t75" style="height:36.75pt;width:68.25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ascii="仿宋" w:hAnsi="仿宋" w:eastAsia="仿宋" w:cs="仿宋"/>
          <w:b w:val="0"/>
          <w:color w:val="auto"/>
          <w:kern w:val="2"/>
          <w:sz w:val="32"/>
          <w:szCs w:val="32"/>
          <w:lang w:val="en-US" w:eastAsia="zh-CN" w:bidi="ar-SA"/>
        </w:rPr>
        <w:t xml:space="preserve">   </w:t>
      </w:r>
    </w:p>
    <w:p w14:paraId="504EE51D">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式中：</w:t>
      </w:r>
    </w:p>
    <w:p w14:paraId="570E1CD4">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3" o:spt="75" type="#_x0000_t75" style="height:18pt;width:13.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eastAsia" w:ascii="仿宋" w:hAnsi="仿宋" w:eastAsia="仿宋" w:cs="仿宋"/>
          <w:b w:val="0"/>
          <w:color w:val="auto"/>
          <w:kern w:val="2"/>
          <w:sz w:val="32"/>
          <w:szCs w:val="32"/>
          <w:lang w:val="en-US" w:eastAsia="zh-CN" w:bidi="ar-SA"/>
        </w:rPr>
        <w:t>——泄压口面积，单位为平方米（㎡）；</w:t>
      </w:r>
    </w:p>
    <w:p w14:paraId="6DD55701">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4" o:spt="75" type="#_x0000_t75" style="height:17pt;width:15.95pt;" o:ole="t" filled="f" o:preferrelative="t" stroked="f" coordsize="21600,21600">
            <v:path/>
            <v:fill on="f" focussize="0,0"/>
            <v:stroke on="f"/>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ascii="仿宋" w:hAnsi="仿宋" w:eastAsia="仿宋" w:cs="仿宋"/>
          <w:b w:val="0"/>
          <w:color w:val="auto"/>
          <w:kern w:val="2"/>
          <w:sz w:val="32"/>
          <w:szCs w:val="32"/>
          <w:lang w:val="en-US" w:eastAsia="zh-CN" w:bidi="ar-SA"/>
        </w:rPr>
        <w:t>——灭火剂在防护区的平均喷射速率，单位为千克每秒 (Kg/s)；</w:t>
      </w:r>
    </w:p>
    <w:p w14:paraId="78371D62">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5" o:spt="75" type="#_x0000_t75" style="height:18pt;width:15pt;" o:ole="t" filled="f" o:preferrelative="t" stroked="f" coordsize="21600,21600">
            <v:path/>
            <v:fill on="f" focussize="0,0"/>
            <v:stroke on="f"/>
            <v:imagedata r:id="rId27" o:title=""/>
            <o:lock v:ext="edit" grouping="f" rotation="f" text="f" aspectratio="t"/>
            <w10:wrap type="none"/>
            <w10:anchorlock/>
          </v:shape>
          <o:OLEObject Type="Embed" ProgID="Equation.3" ShapeID="_x0000_i1035" DrawAspect="Content" ObjectID="_1468075735" r:id="rId26">
            <o:LockedField>false</o:LockedField>
          </o:OLEObject>
        </w:object>
      </w:r>
      <w:r>
        <w:rPr>
          <w:rFonts w:hint="eastAsia" w:ascii="仿宋" w:hAnsi="仿宋" w:eastAsia="仿宋" w:cs="仿宋"/>
          <w:b w:val="0"/>
          <w:color w:val="auto"/>
          <w:kern w:val="2"/>
          <w:sz w:val="32"/>
          <w:szCs w:val="32"/>
          <w:lang w:val="en-US" w:eastAsia="zh-CN" w:bidi="ar-SA"/>
        </w:rPr>
        <w:t>——围护结构承受内压的允许压强，单位为帕（Pa），取值1200 Pa。</w:t>
      </w:r>
    </w:p>
    <w:p w14:paraId="67020EFC">
      <w:pPr>
        <w:adjustRightInd w:val="0"/>
        <w:snapToGrid w:val="0"/>
        <w:spacing w:line="480" w:lineRule="exact"/>
        <w:ind w:firstLine="480" w:firstLineChars="200"/>
        <w:rPr>
          <w:rFonts w:hint="eastAsia" w:ascii="Times New Roman" w:hAnsi="Times New Roman" w:eastAsia="宋体" w:cs="Times New Roman"/>
          <w:kern w:val="2"/>
          <w:sz w:val="24"/>
          <w:szCs w:val="24"/>
          <w:lang w:val="en-US" w:eastAsia="zh-CN" w:bidi="ar-SA"/>
        </w:rPr>
      </w:pPr>
    </w:p>
    <w:p w14:paraId="33701326">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3）管网中支管的超细干粉输送速率计算公式进行了简化。</w:t>
      </w:r>
      <w:bookmarkStart w:id="7" w:name="_Toc235871897"/>
      <w:r>
        <w:rPr>
          <w:rFonts w:hint="eastAsia" w:ascii="仿宋" w:hAnsi="仿宋" w:eastAsia="仿宋" w:cs="仿宋"/>
          <w:b w:val="0"/>
          <w:color w:val="auto"/>
          <w:kern w:val="2"/>
          <w:sz w:val="32"/>
          <w:szCs w:val="32"/>
          <w:lang w:val="en-US" w:eastAsia="zh-CN" w:bidi="ar-SA"/>
        </w:rPr>
        <w:t>修订后管网中支管的超细干粉输送速率应按下列公式计算：</w:t>
      </w:r>
      <w:bookmarkEnd w:id="7"/>
    </w:p>
    <w:p w14:paraId="33AE2E31">
      <w:pPr>
        <w:pStyle w:val="16"/>
        <w:spacing w:line="400" w:lineRule="exac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a 管网均衡系统第一次分支的支管超细干粉灭火剂输送速率可按公式（1）计算。</w:t>
      </w:r>
    </w:p>
    <w:p w14:paraId="329CC7B8">
      <w:pPr>
        <w:pStyle w:val="34"/>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object>
          <v:shape id="_x0000_i1036" o:spt="75" type="#_x0000_t75" style="height:30.75pt;width:4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(1)</w:t>
      </w:r>
    </w:p>
    <w:p w14:paraId="4A5D3A60">
      <w:pPr>
        <w:pStyle w:val="33"/>
        <w:numPr>
          <w:ilvl w:val="0"/>
          <w:numId w:val="0"/>
        </w:numPr>
        <w:ind w:leftChars="0" w:firstLine="320" w:firstLineChars="10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b 管网均衡系统第二次分支的支管超细干粉灭火剂输送速率可按公式（2）计算。</w:t>
      </w:r>
    </w:p>
    <w:p w14:paraId="1EE403EE">
      <w:pPr>
        <w:pStyle w:val="34"/>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object>
          <v:shape id="_x0000_i1037" o:spt="75" type="#_x0000_t75" style="height:30.75pt;width:42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(2)</w:t>
      </w:r>
    </w:p>
    <w:p w14:paraId="163D8C0F">
      <w:pPr>
        <w:pStyle w:val="33"/>
        <w:numPr>
          <w:ilvl w:val="0"/>
          <w:numId w:val="0"/>
        </w:numPr>
        <w:ind w:leftChars="0" w:firstLine="320" w:firstLineChars="10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c 管网均衡系统第三次分支的支管超细干粉灭火剂输送速率可按公式（3）计算。</w:t>
      </w:r>
    </w:p>
    <w:p w14:paraId="67AB8321">
      <w:pPr>
        <w:pStyle w:val="34"/>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object>
          <v:shape id="_x0000_i1038" o:spt="75" type="#_x0000_t75" style="height:30.75pt;width:41.2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ascii="Times New Roman" w:hAnsi="Times New Roman" w:eastAsia="宋体"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(3)</w:t>
      </w:r>
    </w:p>
    <w:p w14:paraId="096A811D">
      <w:pPr>
        <w:pStyle w:val="16"/>
        <w:tabs>
          <w:tab w:val="center" w:pos="4201"/>
          <w:tab w:val="right" w:leader="dot" w:pos="9298"/>
        </w:tabs>
        <w:ind w:firstLine="3168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式中：</w:t>
      </w:r>
    </w:p>
    <w:p w14:paraId="40F28BD5">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39" o:spt="75" type="#_x0000_t75" style="height:18pt;width:1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eastAsia" w:ascii="仿宋" w:hAnsi="仿宋" w:eastAsia="仿宋" w:cs="仿宋"/>
          <w:b w:val="0"/>
          <w:color w:val="auto"/>
          <w:kern w:val="2"/>
          <w:sz w:val="32"/>
          <w:szCs w:val="32"/>
          <w:lang w:val="en-US" w:eastAsia="zh-CN" w:bidi="ar-SA"/>
        </w:rPr>
        <w:t>——支管的超细干粉输送速率，单位为千克每秒(kg/s)；</w:t>
      </w:r>
    </w:p>
    <w:p w14:paraId="7CD5B54F">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40" o:spt="75" type="#_x0000_t75" style="height:11.25pt;width:12.7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rPr>
          <w:rFonts w:hint="eastAsia" w:ascii="仿宋" w:hAnsi="仿宋" w:eastAsia="仿宋" w:cs="仿宋"/>
          <w:b w:val="0"/>
          <w:color w:val="auto"/>
          <w:kern w:val="2"/>
          <w:sz w:val="32"/>
          <w:szCs w:val="32"/>
          <w:lang w:val="en-US" w:eastAsia="zh-CN" w:bidi="ar-SA"/>
        </w:rPr>
        <w:t>——超细干粉灭火剂设计用量，单位为千克（kg）；</w:t>
      </w:r>
    </w:p>
    <w:p w14:paraId="6BF91EFC">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object>
          <v:shape id="_x0000_i1041" o:spt="75" type="#_x0000_t75" style="height:12.75pt;width:6.7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rPr>
          <w:rFonts w:hint="eastAsia" w:ascii="仿宋" w:hAnsi="仿宋" w:eastAsia="仿宋" w:cs="仿宋"/>
          <w:b w:val="0"/>
          <w:color w:val="auto"/>
          <w:kern w:val="2"/>
          <w:sz w:val="32"/>
          <w:szCs w:val="32"/>
          <w:lang w:val="en-US" w:eastAsia="zh-CN" w:bidi="ar-SA"/>
        </w:rPr>
        <w:t>——超细干粉灭火剂有效喷射时间，单位为秒（s）。</w:t>
      </w:r>
    </w:p>
    <w:p w14:paraId="1FBF6338">
      <w:pPr>
        <w:numPr>
          <w:ilvl w:val="0"/>
          <w:numId w:val="6"/>
        </w:numPr>
        <w:autoSpaceDE w:val="0"/>
        <w:autoSpaceDN w:val="0"/>
        <w:adjustRightInd w:val="0"/>
        <w:spacing w:line="480" w:lineRule="exact"/>
        <w:jc w:val="left"/>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确定依据</w:t>
      </w:r>
    </w:p>
    <w:p w14:paraId="1086532C">
      <w:pPr>
        <w:pStyle w:val="16"/>
        <w:rPr>
          <w:rFonts w:hint="eastAsia" w:ascii="仿宋" w:hAnsi="仿宋" w:eastAsia="仿宋" w:cs="仿宋"/>
          <w:b w:val="0"/>
          <w:color w:val="auto"/>
          <w:kern w:val="2"/>
          <w:sz w:val="32"/>
          <w:szCs w:val="32"/>
          <w:lang w:val="en-US" w:eastAsia="zh-CN" w:bidi="ar-SA"/>
        </w:rPr>
      </w:pPr>
    </w:p>
    <w:p w14:paraId="05A2DBED">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GB/T 1527  铜及铜合金拉制管</w:t>
      </w:r>
    </w:p>
    <w:p w14:paraId="76EE48D5">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GB/T 3864  工业氮</w:t>
      </w:r>
    </w:p>
    <w:p w14:paraId="4A8EF9F1">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4717  火灾报警控制器规范</w:t>
      </w:r>
    </w:p>
    <w:p w14:paraId="0EC534C5">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GB/T 8163  输送流体用无缝钢管</w:t>
      </w:r>
    </w:p>
    <w:p w14:paraId="18A9D447">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GB/T 8979  纯氮、高纯氮和超纯氮</w:t>
      </w:r>
    </w:p>
    <w:p w14:paraId="0CA67E50">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16668  干粉灭火系统及部件通用技术条件</w:t>
      </w:r>
    </w:p>
    <w:p w14:paraId="79A9AFA3">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16806  消防联动控制系统</w:t>
      </w:r>
    </w:p>
    <w:p w14:paraId="26FCB4B3">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50016  建筑设计防火规范</w:t>
      </w:r>
    </w:p>
    <w:p w14:paraId="3490B8C7">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50116  火灾自动报警系统设计</w:t>
      </w:r>
    </w:p>
    <w:p w14:paraId="378CF27E">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50140  建筑灭火器配置设计规范</w:t>
      </w:r>
    </w:p>
    <w:p w14:paraId="3D8FB78A">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50166  火灾自动报警系统施工及验收规范</w:t>
      </w:r>
    </w:p>
    <w:p w14:paraId="4EB0D5C0">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50263  气体灭火系统施工及验收规范</w:t>
      </w:r>
    </w:p>
    <w:p w14:paraId="237727C7">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50370  气体灭火系统设计规范</w:t>
      </w:r>
    </w:p>
    <w:p w14:paraId="106098C9">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50347  干粉灭火系统设计规范</w:t>
      </w:r>
    </w:p>
    <w:p w14:paraId="6B9D4DD7">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GB 55036  消防设施通用规范</w:t>
      </w:r>
    </w:p>
    <w:p w14:paraId="7CCFEBEA">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XF 61  固定灭火系统驱动控制装置通用技术条件</w:t>
      </w:r>
    </w:p>
    <w:p w14:paraId="3F3A4AA2">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XF 306.1  阻燃及耐火电缆  塑料绝缘阻燃及耐火电缆分级和要求 第1部分：阻燃电缆</w:t>
      </w:r>
    </w:p>
    <w:p w14:paraId="4628B5E1">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XF 306.2  阻燃及耐火电缆  塑料绝缘阻燃及耐火电缆分级和要求 第2部分：耐火电缆</w:t>
      </w:r>
    </w:p>
    <w:p w14:paraId="085AF946">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XF 602  干粉灭火装置</w:t>
      </w:r>
    </w:p>
    <w:p w14:paraId="64D4E972">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TSG 21-2016  固定式压力容器安全技术监察规程</w:t>
      </w:r>
    </w:p>
    <w:p w14:paraId="4BB53DFD">
      <w:pPr>
        <w:pStyle w:val="16"/>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TSG 23-2021 气瓶安全技术规程</w:t>
      </w:r>
    </w:p>
    <w:p w14:paraId="60C8848D">
      <w:pPr>
        <w:pStyle w:val="2"/>
        <w:numPr>
          <w:ilvl w:val="0"/>
          <w:numId w:val="7"/>
        </w:numPr>
        <w:spacing w:before="120" w:after="120"/>
        <w:rPr>
          <w:rFonts w:hint="default" w:ascii="宋体" w:hAnsi="宋体" w:eastAsia="宋体" w:cs="宋体"/>
          <w:b/>
          <w:kern w:val="2"/>
          <w:sz w:val="32"/>
          <w:szCs w:val="32"/>
          <w:lang w:val="en-US" w:eastAsia="zh-CN" w:bidi="ar-SA"/>
        </w:rPr>
      </w:pPr>
      <w:bookmarkStart w:id="8" w:name="_Toc845"/>
      <w:r>
        <w:rPr>
          <w:rFonts w:hint="default" w:ascii="宋体" w:hAnsi="宋体" w:eastAsia="宋体" w:cs="宋体"/>
          <w:b/>
          <w:kern w:val="2"/>
          <w:sz w:val="32"/>
          <w:szCs w:val="32"/>
          <w:lang w:val="en-US" w:eastAsia="zh-CN" w:bidi="ar-SA"/>
        </w:rPr>
        <w:t>与国际、国外有关法律法规和标准水平的对比分析</w:t>
      </w:r>
      <w:bookmarkEnd w:id="8"/>
      <w:r>
        <w:rPr>
          <w:rFonts w:hint="default" w:ascii="宋体" w:hAnsi="宋体" w:eastAsia="宋体" w:cs="宋体"/>
          <w:b/>
          <w:kern w:val="2"/>
          <w:sz w:val="32"/>
          <w:szCs w:val="32"/>
          <w:lang w:val="en-US" w:eastAsia="zh-CN" w:bidi="ar-SA"/>
        </w:rPr>
        <w:t xml:space="preserve">  </w:t>
      </w:r>
    </w:p>
    <w:p w14:paraId="42984D8B">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1、目前无国际及国外同类产品标准。</w:t>
      </w:r>
    </w:p>
    <w:p w14:paraId="157F66FA">
      <w:pPr>
        <w:autoSpaceDE w:val="0"/>
        <w:autoSpaceDN w:val="0"/>
        <w:adjustRightInd w:val="0"/>
        <w:spacing w:line="480" w:lineRule="exact"/>
        <w:ind w:firstLine="640" w:firstLineChars="20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2、本标准修订主要是根据近年来超细干粉灭火装置产品的应用现状及产品发展的技术需求，进行的标准条款更改，</w:t>
      </w:r>
      <w:r>
        <w:rPr>
          <w:rFonts w:hint="default" w:ascii="仿宋" w:hAnsi="仿宋" w:eastAsia="仿宋" w:cs="仿宋"/>
          <w:b w:val="0"/>
          <w:color w:val="auto"/>
          <w:kern w:val="2"/>
          <w:sz w:val="32"/>
          <w:szCs w:val="32"/>
          <w:lang w:val="en-US" w:eastAsia="zh-CN" w:bidi="ar-SA"/>
        </w:rPr>
        <w:t>本标准</w:t>
      </w:r>
      <w:r>
        <w:rPr>
          <w:rFonts w:hint="eastAsia" w:ascii="仿宋" w:hAnsi="仿宋" w:eastAsia="仿宋" w:cs="仿宋"/>
          <w:b w:val="0"/>
          <w:color w:val="auto"/>
          <w:kern w:val="2"/>
          <w:sz w:val="32"/>
          <w:szCs w:val="32"/>
          <w:lang w:val="en-US" w:eastAsia="zh-CN" w:bidi="ar-SA"/>
        </w:rPr>
        <w:t>引用了GB 50263《气体灭火系统施工及验收规范》GB 50347《干粉灭火系统设计规范》的内容。</w:t>
      </w:r>
    </w:p>
    <w:p w14:paraId="40777E98">
      <w:pPr>
        <w:pStyle w:val="30"/>
        <w:keepNext w:val="0"/>
        <w:keepLines w:val="0"/>
        <w:pageBreakBefore w:val="0"/>
        <w:widowControl w:val="0"/>
        <w:numPr>
          <w:ilvl w:val="0"/>
          <w:numId w:val="0"/>
        </w:numPr>
        <w:kinsoku/>
        <w:wordWrap/>
        <w:overflowPunct/>
        <w:topLinePunct w:val="0"/>
        <w:autoSpaceDE/>
        <w:autoSpaceDN/>
        <w:bidi w:val="0"/>
        <w:adjustRightInd w:val="0"/>
        <w:snapToGrid/>
        <w:spacing w:before="0" w:after="0" w:line="240" w:lineRule="auto"/>
        <w:ind w:leftChars="0"/>
        <w:textAlignment w:val="auto"/>
        <w:rPr>
          <w:rFonts w:hint="default" w:ascii="Times New Roman" w:hAnsi="Times New Roman" w:cs="Times New Roman"/>
          <w:sz w:val="24"/>
        </w:rPr>
      </w:pPr>
      <w:r>
        <w:rPr>
          <w:rFonts w:hint="default" w:ascii="Times New Roman" w:hAnsi="Times New Roman" w:cs="Times New Roman"/>
          <w:sz w:val="24"/>
        </w:rPr>
        <w:t xml:space="preserve">                                                                                                                                                                                                                                                                                                                                                                                                                                                                                                                                                                                        </w:t>
      </w:r>
    </w:p>
    <w:p w14:paraId="03059182">
      <w:pPr>
        <w:pStyle w:val="2"/>
        <w:numPr>
          <w:ilvl w:val="0"/>
          <w:numId w:val="7"/>
        </w:numPr>
        <w:spacing w:before="120" w:after="120"/>
        <w:rPr>
          <w:rFonts w:hint="default" w:ascii="宋体" w:hAnsi="宋体" w:eastAsia="宋体" w:cs="宋体"/>
          <w:b/>
          <w:kern w:val="2"/>
          <w:sz w:val="32"/>
          <w:szCs w:val="32"/>
          <w:lang w:val="en-US" w:eastAsia="zh-CN" w:bidi="ar-SA"/>
        </w:rPr>
      </w:pPr>
      <w:bookmarkStart w:id="9" w:name="_Toc24329"/>
      <w:r>
        <w:rPr>
          <w:rFonts w:hint="default" w:ascii="宋体" w:hAnsi="宋体" w:eastAsia="宋体" w:cs="宋体"/>
          <w:b/>
          <w:kern w:val="2"/>
          <w:sz w:val="32"/>
          <w:szCs w:val="32"/>
          <w:lang w:val="en-US" w:eastAsia="zh-CN" w:bidi="ar-SA"/>
        </w:rPr>
        <w:t>与有关现行法律、法规和其他相关标准的关系</w:t>
      </w:r>
      <w:bookmarkEnd w:id="9"/>
    </w:p>
    <w:p w14:paraId="01ADDF0D">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本标准符合《中华人民共和国标准化法》、《中华人民共和国产品质量法》、《中华人民共和国消防法》等法律和部门规章的规定。</w:t>
      </w:r>
      <w:bookmarkStart w:id="10" w:name="_Toc167348226"/>
      <w:bookmarkStart w:id="11" w:name="OLE_LINK1"/>
      <w:r>
        <w:rPr>
          <w:rFonts w:hint="default" w:ascii="仿宋" w:hAnsi="仿宋" w:eastAsia="仿宋" w:cs="仿宋"/>
          <w:b w:val="0"/>
          <w:color w:val="auto"/>
          <w:kern w:val="2"/>
          <w:sz w:val="32"/>
          <w:szCs w:val="32"/>
          <w:lang w:val="en-US" w:eastAsia="zh-CN" w:bidi="ar-SA"/>
        </w:rPr>
        <w:t>参考现行消防法律法规、技术标准</w:t>
      </w:r>
      <w:r>
        <w:rPr>
          <w:rFonts w:hint="eastAsia" w:ascii="仿宋" w:hAnsi="仿宋" w:eastAsia="仿宋" w:cs="仿宋"/>
          <w:b w:val="0"/>
          <w:color w:val="auto"/>
          <w:kern w:val="2"/>
          <w:sz w:val="32"/>
          <w:szCs w:val="32"/>
          <w:lang w:val="en-US" w:eastAsia="zh-CN" w:bidi="ar-SA"/>
        </w:rPr>
        <w:t xml:space="preserve">  《铜及铜合金拉制管》（GB/T 1527）、《工业氮》（GB/T 3864）</w:t>
      </w:r>
      <w:bookmarkStart w:id="12" w:name="_Toc169162136"/>
      <w:r>
        <w:rPr>
          <w:rFonts w:hint="eastAsia" w:ascii="仿宋" w:hAnsi="仿宋" w:eastAsia="仿宋" w:cs="仿宋"/>
          <w:b w:val="0"/>
          <w:color w:val="auto"/>
          <w:kern w:val="2"/>
          <w:sz w:val="32"/>
          <w:szCs w:val="32"/>
          <w:lang w:val="en-US" w:eastAsia="zh-CN" w:bidi="ar-SA"/>
        </w:rPr>
        <w:t>、《火灾报警控制器》</w:t>
      </w:r>
      <w:bookmarkEnd w:id="10"/>
      <w:bookmarkEnd w:id="12"/>
      <w:r>
        <w:rPr>
          <w:rFonts w:hint="eastAsia" w:ascii="仿宋" w:hAnsi="仿宋" w:eastAsia="仿宋" w:cs="仿宋"/>
          <w:b w:val="0"/>
          <w:color w:val="auto"/>
          <w:kern w:val="2"/>
          <w:sz w:val="32"/>
          <w:szCs w:val="32"/>
          <w:lang w:val="en-US" w:eastAsia="zh-CN" w:bidi="ar-SA"/>
        </w:rPr>
        <w:t>（GB 4717）、《输送流体用无缝钢管》（GB/T 8163 ）、《  纯氮、高纯氮和超纯氮》（GB/T 8979）、</w:t>
      </w:r>
      <w:bookmarkStart w:id="13" w:name="OLE_LINK4"/>
      <w:r>
        <w:rPr>
          <w:rFonts w:hint="eastAsia" w:ascii="仿宋" w:hAnsi="仿宋" w:eastAsia="仿宋" w:cs="仿宋"/>
          <w:b w:val="0"/>
          <w:color w:val="auto"/>
          <w:kern w:val="2"/>
          <w:sz w:val="32"/>
          <w:szCs w:val="32"/>
          <w:lang w:val="en-US" w:eastAsia="zh-CN" w:bidi="ar-SA"/>
        </w:rPr>
        <w:t>《 干粉灭火系统及部件通用技术条件》（GB 16668 ）、</w:t>
      </w:r>
      <w:bookmarkEnd w:id="13"/>
      <w:r>
        <w:rPr>
          <w:rFonts w:hint="eastAsia" w:ascii="仿宋" w:hAnsi="仿宋" w:eastAsia="仿宋" w:cs="仿宋"/>
          <w:b w:val="0"/>
          <w:color w:val="auto"/>
          <w:kern w:val="2"/>
          <w:sz w:val="32"/>
          <w:szCs w:val="32"/>
          <w:lang w:val="en-US" w:eastAsia="zh-CN" w:bidi="ar-SA"/>
        </w:rPr>
        <w:t>《 消防联动控制系统》（GB 16806）、《建筑设计防火规范》（GB 50016）、《火灾自动报警系统设计规范》（GB 50116）、《建筑灭火器配置设计规范》（ GB 50140）、《火灾自动报警系统施工及验收规范》（</w:t>
      </w:r>
      <w:bookmarkStart w:id="14" w:name="_Toc167348229"/>
      <w:bookmarkStart w:id="15" w:name="_Toc169162140"/>
      <w:r>
        <w:rPr>
          <w:rFonts w:hint="eastAsia" w:ascii="仿宋" w:hAnsi="仿宋" w:eastAsia="仿宋" w:cs="仿宋"/>
          <w:b w:val="0"/>
          <w:color w:val="auto"/>
          <w:kern w:val="2"/>
          <w:sz w:val="32"/>
          <w:szCs w:val="32"/>
          <w:lang w:val="en-US" w:eastAsia="zh-CN" w:bidi="ar-SA"/>
        </w:rPr>
        <w:t xml:space="preserve">GB 50166  </w:t>
      </w:r>
      <w:bookmarkEnd w:id="14"/>
      <w:bookmarkEnd w:id="15"/>
      <w:r>
        <w:rPr>
          <w:rFonts w:hint="eastAsia" w:ascii="仿宋" w:hAnsi="仿宋" w:eastAsia="仿宋" w:cs="仿宋"/>
          <w:b w:val="0"/>
          <w:color w:val="auto"/>
          <w:kern w:val="2"/>
          <w:sz w:val="32"/>
          <w:szCs w:val="32"/>
          <w:lang w:val="en-US" w:eastAsia="zh-CN" w:bidi="ar-SA"/>
        </w:rPr>
        <w:t>）、《 气体灭火系统施工及验收规范》（</w:t>
      </w:r>
      <w:bookmarkStart w:id="16" w:name="_Toc169162141"/>
      <w:bookmarkStart w:id="17" w:name="_Toc167348230"/>
      <w:r>
        <w:rPr>
          <w:rFonts w:hint="eastAsia" w:ascii="仿宋" w:hAnsi="仿宋" w:eastAsia="仿宋" w:cs="仿宋"/>
          <w:b w:val="0"/>
          <w:color w:val="auto"/>
          <w:kern w:val="2"/>
          <w:sz w:val="32"/>
          <w:szCs w:val="32"/>
          <w:lang w:val="en-US" w:eastAsia="zh-CN" w:bidi="ar-SA"/>
        </w:rPr>
        <w:t xml:space="preserve">GB 50263 </w:t>
      </w:r>
      <w:bookmarkEnd w:id="16"/>
      <w:bookmarkEnd w:id="17"/>
      <w:r>
        <w:rPr>
          <w:rFonts w:hint="eastAsia" w:ascii="仿宋" w:hAnsi="仿宋" w:eastAsia="仿宋" w:cs="仿宋"/>
          <w:b w:val="0"/>
          <w:color w:val="auto"/>
          <w:kern w:val="2"/>
          <w:sz w:val="32"/>
          <w:szCs w:val="32"/>
          <w:lang w:val="en-US" w:eastAsia="zh-CN" w:bidi="ar-SA"/>
        </w:rPr>
        <w:t>）、《气体灭火系统设计规范》（GB 50370 ）、</w:t>
      </w:r>
      <w:bookmarkStart w:id="18" w:name="OLE_LINK5"/>
      <w:bookmarkStart w:id="19" w:name="OLE_LINK6"/>
      <w:r>
        <w:rPr>
          <w:rFonts w:hint="eastAsia" w:ascii="仿宋" w:hAnsi="仿宋" w:eastAsia="仿宋" w:cs="仿宋"/>
          <w:b w:val="0"/>
          <w:color w:val="auto"/>
          <w:kern w:val="2"/>
          <w:sz w:val="32"/>
          <w:szCs w:val="32"/>
          <w:lang w:val="en-US" w:eastAsia="zh-CN" w:bidi="ar-SA"/>
        </w:rPr>
        <w:t>《干粉灭火系统设计规范》（GB 50347）</w:t>
      </w:r>
      <w:bookmarkEnd w:id="18"/>
      <w:r>
        <w:rPr>
          <w:rFonts w:hint="eastAsia" w:ascii="仿宋" w:hAnsi="仿宋" w:eastAsia="仿宋" w:cs="仿宋"/>
          <w:b w:val="0"/>
          <w:color w:val="auto"/>
          <w:kern w:val="2"/>
          <w:sz w:val="32"/>
          <w:szCs w:val="32"/>
          <w:lang w:val="en-US" w:eastAsia="zh-CN" w:bidi="ar-SA"/>
        </w:rPr>
        <w:t>、</w:t>
      </w:r>
      <w:bookmarkEnd w:id="19"/>
      <w:r>
        <w:rPr>
          <w:rFonts w:hint="eastAsia" w:ascii="仿宋" w:hAnsi="仿宋" w:eastAsia="仿宋" w:cs="仿宋"/>
          <w:b w:val="0"/>
          <w:color w:val="auto"/>
          <w:kern w:val="2"/>
          <w:sz w:val="32"/>
          <w:szCs w:val="32"/>
          <w:lang w:val="en-US" w:eastAsia="zh-CN" w:bidi="ar-SA"/>
        </w:rPr>
        <w:t>《消防设施通用规范》（GB 55036）、《 固定灭火系统驱动控制装置通用技术条件》（XF 61）、《阻燃及耐火电缆  塑料绝缘阻燃及耐火电缆分级和要求 第1部分：阻燃电缆》（XF 306.1）、《阻燃及耐火电缆  塑料绝缘阻燃及耐火电缆分级和要求 第2部分：耐火电缆》（</w:t>
      </w:r>
      <w:bookmarkStart w:id="20" w:name="_Toc169162143"/>
      <w:bookmarkStart w:id="21" w:name="_Toc167348232"/>
      <w:r>
        <w:rPr>
          <w:rFonts w:hint="eastAsia" w:ascii="仿宋" w:hAnsi="仿宋" w:eastAsia="仿宋" w:cs="仿宋"/>
          <w:b w:val="0"/>
          <w:color w:val="auto"/>
          <w:kern w:val="2"/>
          <w:sz w:val="32"/>
          <w:szCs w:val="32"/>
          <w:lang w:val="en-US" w:eastAsia="zh-CN" w:bidi="ar-SA"/>
        </w:rPr>
        <w:t xml:space="preserve"> </w:t>
      </w:r>
      <w:bookmarkEnd w:id="20"/>
      <w:bookmarkEnd w:id="21"/>
      <w:r>
        <w:rPr>
          <w:rFonts w:hint="eastAsia" w:ascii="仿宋" w:hAnsi="仿宋" w:eastAsia="仿宋" w:cs="仿宋"/>
          <w:b w:val="0"/>
          <w:color w:val="auto"/>
          <w:kern w:val="2"/>
          <w:sz w:val="32"/>
          <w:szCs w:val="32"/>
          <w:lang w:val="en-US" w:eastAsia="zh-CN" w:bidi="ar-SA"/>
        </w:rPr>
        <w:t>XF 306.2）、《干粉灭火装置》（XF 602）、《 固定式压力容器安全技术监察规程》（TSG 21-2016 ）、《气瓶安全技术规程》（TSG 23-2021）的有关要求协调一致。</w:t>
      </w:r>
      <w:r>
        <w:rPr>
          <w:rFonts w:hint="default" w:ascii="仿宋" w:hAnsi="仿宋" w:eastAsia="仿宋" w:cs="仿宋"/>
          <w:b w:val="0"/>
          <w:color w:val="auto"/>
          <w:kern w:val="2"/>
          <w:sz w:val="32"/>
          <w:szCs w:val="32"/>
          <w:lang w:val="en-US" w:eastAsia="zh-CN" w:bidi="ar-SA"/>
        </w:rPr>
        <w:t>确保了与法律法规和相关技术标准协调一致，不产生法律层面的冲突和矛盾，并有利于地方标准的推广实施</w:t>
      </w:r>
      <w:r>
        <w:rPr>
          <w:rFonts w:hint="eastAsia" w:ascii="仿宋" w:hAnsi="仿宋" w:eastAsia="仿宋" w:cs="仿宋"/>
          <w:b w:val="0"/>
          <w:color w:val="auto"/>
          <w:kern w:val="2"/>
          <w:sz w:val="32"/>
          <w:szCs w:val="32"/>
          <w:lang w:val="en-US" w:eastAsia="zh-CN" w:bidi="ar-SA"/>
        </w:rPr>
        <w:t>。</w:t>
      </w:r>
      <w:bookmarkEnd w:id="11"/>
    </w:p>
    <w:p w14:paraId="37FD0F7B">
      <w:pPr>
        <w:pStyle w:val="2"/>
        <w:spacing w:before="120" w:after="120"/>
        <w:rPr>
          <w:rFonts w:hint="default" w:ascii="宋体" w:hAnsi="宋体" w:eastAsia="宋体" w:cs="宋体"/>
          <w:b/>
          <w:kern w:val="2"/>
          <w:sz w:val="32"/>
          <w:szCs w:val="32"/>
          <w:lang w:val="en-US" w:eastAsia="zh-CN" w:bidi="ar-SA"/>
        </w:rPr>
      </w:pPr>
      <w:bookmarkStart w:id="22" w:name="_Toc29160"/>
      <w:r>
        <w:rPr>
          <w:rFonts w:hint="default" w:ascii="宋体" w:hAnsi="宋体" w:eastAsia="宋体" w:cs="宋体"/>
          <w:b/>
          <w:kern w:val="2"/>
          <w:sz w:val="32"/>
          <w:szCs w:val="32"/>
          <w:lang w:val="en-US" w:eastAsia="zh-CN" w:bidi="ar-SA"/>
        </w:rPr>
        <w:t>五</w:t>
      </w:r>
      <w:r>
        <w:rPr>
          <w:rFonts w:hint="eastAsia" w:ascii="宋体" w:hAnsi="宋体" w:eastAsia="宋体" w:cs="宋体"/>
          <w:b/>
          <w:kern w:val="2"/>
          <w:sz w:val="32"/>
          <w:szCs w:val="32"/>
          <w:lang w:val="en-US" w:eastAsia="zh-CN" w:bidi="ar-SA"/>
        </w:rPr>
        <w:t>、</w:t>
      </w:r>
      <w:r>
        <w:rPr>
          <w:rFonts w:hint="default" w:ascii="宋体" w:hAnsi="宋体" w:eastAsia="宋体" w:cs="宋体"/>
          <w:b/>
          <w:kern w:val="2"/>
          <w:sz w:val="32"/>
          <w:szCs w:val="32"/>
          <w:lang w:val="en-US" w:eastAsia="zh-CN" w:bidi="ar-SA"/>
        </w:rPr>
        <w:t>重大分歧意见的处理过程及依据</w:t>
      </w:r>
      <w:bookmarkEnd w:id="22"/>
    </w:p>
    <w:p w14:paraId="129471E7">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本标准在编写过程中尚未出现不能解决的重大意见分歧</w:t>
      </w:r>
      <w:r>
        <w:rPr>
          <w:rFonts w:hint="eastAsia" w:ascii="仿宋" w:hAnsi="仿宋" w:eastAsia="仿宋" w:cs="仿宋"/>
          <w:b w:val="0"/>
          <w:color w:val="auto"/>
          <w:kern w:val="2"/>
          <w:sz w:val="32"/>
          <w:szCs w:val="32"/>
          <w:lang w:val="en-US" w:eastAsia="zh-CN" w:bidi="ar-SA"/>
        </w:rPr>
        <w:t>。</w:t>
      </w:r>
    </w:p>
    <w:p w14:paraId="4971545B">
      <w:pPr>
        <w:pStyle w:val="2"/>
        <w:spacing w:before="120" w:after="120"/>
        <w:rPr>
          <w:rFonts w:hint="eastAsia" w:ascii="宋体" w:hAnsi="宋体" w:eastAsia="宋体" w:cs="宋体"/>
          <w:b/>
          <w:kern w:val="2"/>
          <w:sz w:val="32"/>
          <w:szCs w:val="32"/>
          <w:lang w:val="en-US" w:eastAsia="zh-CN" w:bidi="ar-SA"/>
        </w:rPr>
      </w:pPr>
      <w:bookmarkStart w:id="23" w:name="_Toc17923"/>
      <w:r>
        <w:rPr>
          <w:rFonts w:hint="default" w:ascii="宋体" w:hAnsi="宋体" w:eastAsia="宋体" w:cs="宋体"/>
          <w:b/>
          <w:kern w:val="2"/>
          <w:sz w:val="32"/>
          <w:szCs w:val="32"/>
          <w:lang w:val="en-US" w:eastAsia="zh-CN" w:bidi="ar-SA"/>
        </w:rPr>
        <w:t>六</w:t>
      </w:r>
      <w:r>
        <w:rPr>
          <w:rFonts w:hint="eastAsia" w:ascii="宋体" w:hAnsi="宋体" w:eastAsia="宋体" w:cs="宋体"/>
          <w:b/>
          <w:kern w:val="2"/>
          <w:sz w:val="32"/>
          <w:szCs w:val="32"/>
          <w:lang w:val="en-US" w:eastAsia="zh-CN" w:bidi="ar-SA"/>
        </w:rPr>
        <w:t>、</w:t>
      </w:r>
      <w:bookmarkEnd w:id="23"/>
      <w:r>
        <w:rPr>
          <w:rFonts w:hint="eastAsia" w:ascii="宋体" w:hAnsi="宋体" w:eastAsia="宋体" w:cs="宋体"/>
          <w:b/>
          <w:kern w:val="2"/>
          <w:sz w:val="32"/>
          <w:szCs w:val="32"/>
          <w:lang w:val="en-US" w:eastAsia="zh-CN" w:bidi="ar-SA"/>
        </w:rPr>
        <w:t>地方标准组织实施及监督工作措施</w:t>
      </w:r>
    </w:p>
    <w:p w14:paraId="51D6ED3B">
      <w:pPr>
        <w:autoSpaceDE w:val="0"/>
        <w:autoSpaceDN w:val="0"/>
        <w:adjustRightInd w:val="0"/>
        <w:spacing w:line="480" w:lineRule="exact"/>
        <w:ind w:firstLine="640" w:firstLineChars="200"/>
        <w:jc w:val="left"/>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是一种基于</w:t>
      </w:r>
      <w:r>
        <w:rPr>
          <w:rFonts w:hint="eastAsia" w:ascii="仿宋" w:hAnsi="仿宋" w:eastAsia="仿宋" w:cs="仿宋"/>
          <w:b w:val="0"/>
          <w:color w:val="auto"/>
          <w:kern w:val="2"/>
          <w:sz w:val="32"/>
          <w:szCs w:val="32"/>
          <w:lang w:val="en-US" w:eastAsia="zh-CN" w:bidi="ar-SA"/>
        </w:rPr>
        <w:t>为设计院、工程施工单位、工程验收单位，设备使用单位等提供依据的标准。</w:t>
      </w:r>
    </w:p>
    <w:p w14:paraId="73DAB573">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1.加强相关人员</w:t>
      </w:r>
      <w:r>
        <w:rPr>
          <w:rFonts w:hint="eastAsia" w:ascii="仿宋" w:hAnsi="仿宋" w:eastAsia="仿宋" w:cs="仿宋"/>
          <w:b w:val="0"/>
          <w:color w:val="auto"/>
          <w:kern w:val="2"/>
          <w:sz w:val="32"/>
          <w:szCs w:val="32"/>
          <w:lang w:val="en-US" w:eastAsia="zh-CN" w:bidi="ar-SA"/>
        </w:rPr>
        <w:t>的</w:t>
      </w:r>
      <w:r>
        <w:rPr>
          <w:rFonts w:hint="default" w:ascii="仿宋" w:hAnsi="仿宋" w:eastAsia="仿宋" w:cs="仿宋"/>
          <w:b w:val="0"/>
          <w:color w:val="auto"/>
          <w:kern w:val="2"/>
          <w:sz w:val="32"/>
          <w:szCs w:val="32"/>
          <w:lang w:val="en-US" w:eastAsia="zh-CN" w:bidi="ar-SA"/>
        </w:rPr>
        <w:t>培训，</w:t>
      </w:r>
      <w:r>
        <w:rPr>
          <w:rFonts w:hint="eastAsia" w:ascii="仿宋" w:hAnsi="仿宋" w:eastAsia="仿宋" w:cs="仿宋"/>
          <w:b w:val="0"/>
          <w:color w:val="auto"/>
          <w:kern w:val="2"/>
          <w:sz w:val="32"/>
          <w:szCs w:val="32"/>
          <w:lang w:val="en-US" w:eastAsia="zh-CN" w:bidi="ar-SA"/>
        </w:rPr>
        <w:t>进</w:t>
      </w:r>
      <w:r>
        <w:rPr>
          <w:rFonts w:hint="default" w:ascii="仿宋" w:hAnsi="仿宋" w:eastAsia="仿宋" w:cs="仿宋"/>
          <w:b w:val="0"/>
          <w:color w:val="auto"/>
          <w:kern w:val="2"/>
          <w:sz w:val="32"/>
          <w:szCs w:val="32"/>
          <w:lang w:val="en-US" w:eastAsia="zh-CN" w:bidi="ar-SA"/>
        </w:rPr>
        <w:t>一步熟练该项标准在消防应用上的实际操作要求。</w:t>
      </w:r>
    </w:p>
    <w:p w14:paraId="5D037C28">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2</w:t>
      </w:r>
      <w:r>
        <w:rPr>
          <w:rFonts w:hint="default" w:ascii="仿宋" w:hAnsi="仿宋" w:eastAsia="仿宋" w:cs="仿宋"/>
          <w:b w:val="0"/>
          <w:color w:val="auto"/>
          <w:kern w:val="2"/>
          <w:sz w:val="32"/>
          <w:szCs w:val="32"/>
          <w:lang w:val="en-US" w:eastAsia="zh-CN" w:bidi="ar-SA"/>
        </w:rPr>
        <w:t>.要持续关注应用情况，不断从实践中检验和优化标准。</w:t>
      </w:r>
    </w:p>
    <w:p w14:paraId="613211B8">
      <w:pPr>
        <w:pStyle w:val="2"/>
        <w:spacing w:before="120" w:after="120"/>
        <w:rPr>
          <w:rFonts w:hint="default" w:ascii="宋体" w:hAnsi="宋体" w:eastAsia="宋体" w:cs="宋体"/>
          <w:b/>
          <w:kern w:val="2"/>
          <w:sz w:val="32"/>
          <w:szCs w:val="32"/>
          <w:lang w:val="en-US" w:eastAsia="zh-CN" w:bidi="ar-SA"/>
        </w:rPr>
      </w:pPr>
      <w:bookmarkStart w:id="24" w:name="_Toc26302"/>
      <w:r>
        <w:rPr>
          <w:rFonts w:hint="default" w:ascii="宋体" w:hAnsi="宋体" w:eastAsia="宋体" w:cs="宋体"/>
          <w:b/>
          <w:kern w:val="2"/>
          <w:sz w:val="32"/>
          <w:szCs w:val="32"/>
          <w:lang w:val="en-US" w:eastAsia="zh-CN" w:bidi="ar-SA"/>
        </w:rPr>
        <w:t>七</w:t>
      </w:r>
      <w:r>
        <w:rPr>
          <w:rFonts w:hint="eastAsia" w:ascii="宋体" w:hAnsi="宋体" w:eastAsia="宋体" w:cs="宋体"/>
          <w:b/>
          <w:kern w:val="2"/>
          <w:sz w:val="32"/>
          <w:szCs w:val="32"/>
          <w:lang w:val="en-US" w:eastAsia="zh-CN" w:bidi="ar-SA"/>
        </w:rPr>
        <w:t>、</w:t>
      </w:r>
      <w:r>
        <w:rPr>
          <w:rFonts w:hint="default" w:ascii="宋体" w:hAnsi="宋体" w:eastAsia="宋体" w:cs="宋体"/>
          <w:b/>
          <w:kern w:val="2"/>
          <w:sz w:val="32"/>
          <w:szCs w:val="32"/>
          <w:lang w:val="en-US" w:eastAsia="zh-CN" w:bidi="ar-SA"/>
        </w:rPr>
        <w:t>标准实施日期的建议及依据</w:t>
      </w:r>
      <w:bookmarkEnd w:id="24"/>
    </w:p>
    <w:p w14:paraId="6672F67E">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本标准修订</w:t>
      </w:r>
      <w:r>
        <w:rPr>
          <w:rFonts w:hint="default" w:ascii="仿宋" w:hAnsi="仿宋" w:eastAsia="仿宋" w:cs="仿宋"/>
          <w:b w:val="0"/>
          <w:color w:val="auto"/>
          <w:kern w:val="2"/>
          <w:sz w:val="32"/>
          <w:szCs w:val="32"/>
          <w:lang w:val="en-US" w:eastAsia="zh-CN" w:bidi="ar-SA"/>
        </w:rPr>
        <w:t>实施所需技术条件是成熟的，建议按照正常流程进行发布和实施。本标准自发布日</w:t>
      </w:r>
      <w:r>
        <w:rPr>
          <w:rFonts w:hint="eastAsia" w:ascii="仿宋" w:hAnsi="仿宋" w:eastAsia="仿宋" w:cs="仿宋"/>
          <w:b w:val="0"/>
          <w:color w:val="auto"/>
          <w:kern w:val="2"/>
          <w:sz w:val="32"/>
          <w:szCs w:val="32"/>
          <w:lang w:val="en-US" w:eastAsia="zh-CN" w:bidi="ar-SA"/>
        </w:rPr>
        <w:t>起替代2009年版的《超细干粉灭火系统设计、施工及验收规范》。</w:t>
      </w:r>
    </w:p>
    <w:p w14:paraId="7EF1A9EF">
      <w:pPr>
        <w:pStyle w:val="2"/>
        <w:spacing w:before="120" w:after="120"/>
        <w:rPr>
          <w:rFonts w:hint="default" w:ascii="宋体" w:hAnsi="宋体" w:eastAsia="宋体" w:cs="宋体"/>
          <w:b/>
          <w:kern w:val="2"/>
          <w:sz w:val="32"/>
          <w:szCs w:val="32"/>
          <w:lang w:val="en-US" w:eastAsia="zh-CN" w:bidi="ar-SA"/>
        </w:rPr>
      </w:pPr>
      <w:bookmarkStart w:id="25" w:name="_Toc9181"/>
      <w:r>
        <w:rPr>
          <w:rFonts w:hint="default" w:ascii="宋体" w:hAnsi="宋体" w:eastAsia="宋体" w:cs="宋体"/>
          <w:b/>
          <w:kern w:val="2"/>
          <w:sz w:val="32"/>
          <w:szCs w:val="32"/>
          <w:lang w:val="en-US" w:eastAsia="zh-CN" w:bidi="ar-SA"/>
        </w:rPr>
        <w:t>八</w:t>
      </w:r>
      <w:r>
        <w:rPr>
          <w:rFonts w:hint="eastAsia" w:ascii="宋体" w:hAnsi="宋体" w:eastAsia="宋体" w:cs="宋体"/>
          <w:b/>
          <w:kern w:val="2"/>
          <w:sz w:val="32"/>
          <w:szCs w:val="32"/>
          <w:lang w:val="en-US" w:eastAsia="zh-CN" w:bidi="ar-SA"/>
        </w:rPr>
        <w:t>、</w:t>
      </w:r>
      <w:r>
        <w:rPr>
          <w:rFonts w:hint="default" w:ascii="宋体" w:hAnsi="宋体" w:eastAsia="宋体" w:cs="宋体"/>
          <w:b/>
          <w:kern w:val="2"/>
          <w:sz w:val="32"/>
          <w:szCs w:val="32"/>
          <w:lang w:val="en-US" w:eastAsia="zh-CN" w:bidi="ar-SA"/>
        </w:rPr>
        <w:t>实施标准的有关政策措施</w:t>
      </w:r>
      <w:bookmarkEnd w:id="25"/>
    </w:p>
    <w:p w14:paraId="23CE9054">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对实施</w:t>
      </w:r>
      <w:r>
        <w:rPr>
          <w:rFonts w:hint="default" w:ascii="仿宋" w:hAnsi="仿宋" w:eastAsia="仿宋" w:cs="仿宋"/>
          <w:b w:val="0"/>
          <w:color w:val="auto"/>
          <w:kern w:val="2"/>
          <w:sz w:val="32"/>
          <w:szCs w:val="32"/>
          <w:lang w:val="en-US" w:eastAsia="zh-CN" w:bidi="ar-SA"/>
        </w:rPr>
        <w:t>本标准</w:t>
      </w:r>
      <w:r>
        <w:rPr>
          <w:rFonts w:hint="eastAsia" w:ascii="仿宋" w:hAnsi="仿宋" w:eastAsia="仿宋" w:cs="仿宋"/>
          <w:b w:val="0"/>
          <w:color w:val="auto"/>
          <w:kern w:val="2"/>
          <w:sz w:val="32"/>
          <w:szCs w:val="32"/>
          <w:lang w:val="en-US" w:eastAsia="zh-CN" w:bidi="ar-SA"/>
        </w:rPr>
        <w:t>无需新增有关政策措施。</w:t>
      </w:r>
      <w:r>
        <w:rPr>
          <w:rFonts w:hint="default" w:ascii="仿宋" w:hAnsi="仿宋" w:eastAsia="仿宋" w:cs="仿宋"/>
          <w:b w:val="0"/>
          <w:color w:val="auto"/>
          <w:kern w:val="2"/>
          <w:sz w:val="32"/>
          <w:szCs w:val="32"/>
          <w:lang w:val="en-US" w:eastAsia="zh-CN" w:bidi="ar-SA"/>
        </w:rPr>
        <w:t>标准</w:t>
      </w:r>
      <w:r>
        <w:rPr>
          <w:rFonts w:hint="eastAsia" w:ascii="仿宋" w:hAnsi="仿宋" w:eastAsia="仿宋" w:cs="仿宋"/>
          <w:b w:val="0"/>
          <w:color w:val="auto"/>
          <w:kern w:val="2"/>
          <w:sz w:val="32"/>
          <w:szCs w:val="32"/>
          <w:lang w:val="en-US" w:eastAsia="zh-CN" w:bidi="ar-SA"/>
        </w:rPr>
        <w:t>发布后</w:t>
      </w:r>
      <w:r>
        <w:rPr>
          <w:rFonts w:hint="default" w:ascii="仿宋" w:hAnsi="仿宋" w:eastAsia="仿宋" w:cs="仿宋"/>
          <w:b w:val="0"/>
          <w:color w:val="auto"/>
          <w:kern w:val="2"/>
          <w:sz w:val="32"/>
          <w:szCs w:val="32"/>
          <w:lang w:val="en-US" w:eastAsia="zh-CN" w:bidi="ar-SA"/>
        </w:rPr>
        <w:t>应做好面向各相关行业的标准技术解读，做好相关</w:t>
      </w:r>
      <w:r>
        <w:rPr>
          <w:rFonts w:hint="eastAsia" w:ascii="仿宋" w:hAnsi="仿宋" w:eastAsia="仿宋" w:cs="仿宋"/>
          <w:b w:val="0"/>
          <w:color w:val="auto"/>
          <w:kern w:val="2"/>
          <w:sz w:val="32"/>
          <w:szCs w:val="32"/>
          <w:lang w:val="en-US" w:eastAsia="zh-CN" w:bidi="ar-SA"/>
        </w:rPr>
        <w:t>使用单位</w:t>
      </w:r>
      <w:r>
        <w:rPr>
          <w:rFonts w:hint="default" w:ascii="仿宋" w:hAnsi="仿宋" w:eastAsia="仿宋" w:cs="仿宋"/>
          <w:b w:val="0"/>
          <w:color w:val="auto"/>
          <w:kern w:val="2"/>
          <w:sz w:val="32"/>
          <w:szCs w:val="32"/>
          <w:lang w:val="en-US" w:eastAsia="zh-CN" w:bidi="ar-SA"/>
        </w:rPr>
        <w:t>的标准宣贯和技术培训工作</w:t>
      </w:r>
      <w:r>
        <w:rPr>
          <w:rFonts w:hint="eastAsia" w:ascii="仿宋" w:hAnsi="仿宋" w:eastAsia="仿宋" w:cs="仿宋"/>
          <w:b w:val="0"/>
          <w:color w:val="auto"/>
          <w:kern w:val="2"/>
          <w:sz w:val="32"/>
          <w:szCs w:val="32"/>
          <w:lang w:val="en-US" w:eastAsia="zh-CN" w:bidi="ar-SA"/>
        </w:rPr>
        <w:t>，便于使用者的理解和正确使用。</w:t>
      </w:r>
    </w:p>
    <w:p w14:paraId="3C0EE67B">
      <w:pPr>
        <w:pStyle w:val="2"/>
        <w:spacing w:before="120" w:after="120"/>
        <w:rPr>
          <w:rFonts w:hint="default" w:ascii="宋体" w:hAnsi="宋体" w:eastAsia="宋体" w:cs="宋体"/>
          <w:b/>
          <w:kern w:val="2"/>
          <w:sz w:val="32"/>
          <w:szCs w:val="32"/>
          <w:lang w:val="en-US" w:eastAsia="zh-CN" w:bidi="ar-SA"/>
        </w:rPr>
      </w:pPr>
      <w:bookmarkStart w:id="26" w:name="_Toc17085"/>
      <w:r>
        <w:rPr>
          <w:rFonts w:hint="eastAsia" w:ascii="宋体" w:hAnsi="宋体" w:eastAsia="宋体" w:cs="宋体"/>
          <w:b/>
          <w:kern w:val="2"/>
          <w:sz w:val="32"/>
          <w:szCs w:val="32"/>
          <w:lang w:val="en-US" w:eastAsia="zh-CN" w:bidi="ar-SA"/>
        </w:rPr>
        <w:t>九、</w:t>
      </w:r>
      <w:r>
        <w:rPr>
          <w:rFonts w:hint="default" w:ascii="宋体" w:hAnsi="宋体" w:eastAsia="宋体" w:cs="宋体"/>
          <w:b/>
          <w:kern w:val="2"/>
          <w:sz w:val="32"/>
          <w:szCs w:val="32"/>
          <w:lang w:val="en-US" w:eastAsia="zh-CN" w:bidi="ar-SA"/>
        </w:rPr>
        <w:t>涉及专利的有关说明</w:t>
      </w:r>
      <w:bookmarkEnd w:id="26"/>
    </w:p>
    <w:p w14:paraId="70F8FE6A">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近些年，</w:t>
      </w:r>
      <w:r>
        <w:rPr>
          <w:rFonts w:hint="eastAsia" w:ascii="仿宋" w:hAnsi="仿宋" w:eastAsia="仿宋" w:cs="仿宋"/>
          <w:b w:val="0"/>
          <w:color w:val="auto"/>
          <w:kern w:val="2"/>
          <w:sz w:val="32"/>
          <w:szCs w:val="32"/>
          <w:lang w:val="en-US" w:eastAsia="zh-CN" w:bidi="ar-SA"/>
        </w:rPr>
        <w:t>超细干粉灭火系统</w:t>
      </w:r>
      <w:r>
        <w:rPr>
          <w:rFonts w:hint="default" w:ascii="仿宋" w:hAnsi="仿宋" w:eastAsia="仿宋" w:cs="仿宋"/>
          <w:b w:val="0"/>
          <w:color w:val="auto"/>
          <w:kern w:val="2"/>
          <w:sz w:val="32"/>
          <w:szCs w:val="32"/>
          <w:lang w:val="en-US" w:eastAsia="zh-CN" w:bidi="ar-SA"/>
        </w:rPr>
        <w:t>发展迅猛，很多单位和机构均在开展产品研发及工程应用</w:t>
      </w:r>
      <w:r>
        <w:rPr>
          <w:rFonts w:hint="eastAsia" w:ascii="仿宋" w:hAnsi="仿宋" w:eastAsia="仿宋" w:cs="仿宋"/>
          <w:b w:val="0"/>
          <w:color w:val="auto"/>
          <w:kern w:val="2"/>
          <w:sz w:val="32"/>
          <w:szCs w:val="32"/>
          <w:lang w:val="en-US" w:eastAsia="zh-CN" w:bidi="ar-SA"/>
        </w:rPr>
        <w:t>技术</w:t>
      </w:r>
      <w:r>
        <w:rPr>
          <w:rFonts w:hint="default" w:ascii="仿宋" w:hAnsi="仿宋" w:eastAsia="仿宋" w:cs="仿宋"/>
          <w:b w:val="0"/>
          <w:color w:val="auto"/>
          <w:kern w:val="2"/>
          <w:sz w:val="32"/>
          <w:szCs w:val="32"/>
          <w:lang w:val="en-US" w:eastAsia="zh-CN" w:bidi="ar-SA"/>
        </w:rPr>
        <w:t>研究。本标准可能涉及相关专利，本标准的编写单位及发布机构不承担识别这些专利的责任。任何组织或个人在实施该标准或应用该标准涵盖的产品时，可与相关专利持有人在合理无歧视基础上协商实施。</w:t>
      </w:r>
    </w:p>
    <w:p w14:paraId="4BE20A49">
      <w:pPr>
        <w:pStyle w:val="2"/>
        <w:spacing w:before="120" w:after="120"/>
        <w:rPr>
          <w:rFonts w:hint="default" w:ascii="宋体" w:hAnsi="宋体" w:eastAsia="宋体" w:cs="宋体"/>
          <w:b/>
          <w:kern w:val="2"/>
          <w:sz w:val="32"/>
          <w:szCs w:val="32"/>
          <w:lang w:val="en-US" w:eastAsia="zh-CN" w:bidi="ar-SA"/>
        </w:rPr>
      </w:pPr>
      <w:bookmarkStart w:id="27" w:name="_Toc11047"/>
      <w:r>
        <w:rPr>
          <w:rFonts w:hint="default" w:ascii="宋体" w:hAnsi="宋体" w:eastAsia="宋体" w:cs="宋体"/>
          <w:b/>
          <w:kern w:val="2"/>
          <w:sz w:val="32"/>
          <w:szCs w:val="32"/>
          <w:lang w:val="en-US" w:eastAsia="zh-CN" w:bidi="ar-SA"/>
        </w:rPr>
        <w:t>十</w:t>
      </w:r>
      <w:r>
        <w:rPr>
          <w:rFonts w:hint="eastAsia" w:ascii="宋体" w:hAnsi="宋体" w:eastAsia="宋体" w:cs="宋体"/>
          <w:b/>
          <w:kern w:val="2"/>
          <w:sz w:val="32"/>
          <w:szCs w:val="32"/>
          <w:lang w:val="en-US" w:eastAsia="zh-CN" w:bidi="ar-SA"/>
        </w:rPr>
        <w:t>、</w:t>
      </w:r>
      <w:r>
        <w:rPr>
          <w:rFonts w:hint="default" w:ascii="宋体" w:hAnsi="宋体" w:eastAsia="宋体" w:cs="宋体"/>
          <w:b/>
          <w:kern w:val="2"/>
          <w:sz w:val="32"/>
          <w:szCs w:val="32"/>
          <w:lang w:val="en-US" w:eastAsia="zh-CN" w:bidi="ar-SA"/>
        </w:rPr>
        <w:t>其他应予说明的事项</w:t>
      </w:r>
      <w:bookmarkEnd w:id="27"/>
    </w:p>
    <w:p w14:paraId="3E287C38">
      <w:pPr>
        <w:autoSpaceDE w:val="0"/>
        <w:autoSpaceDN w:val="0"/>
        <w:adjustRightInd w:val="0"/>
        <w:spacing w:line="480" w:lineRule="exact"/>
        <w:ind w:firstLine="640" w:firstLineChars="200"/>
        <w:jc w:val="lef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无。</w:t>
      </w:r>
    </w:p>
    <w:p w14:paraId="7864CEA0">
      <w:pPr>
        <w:spacing w:line="360" w:lineRule="auto"/>
        <w:ind w:firstLine="480" w:firstLineChars="200"/>
        <w:rPr>
          <w:rFonts w:hint="default" w:ascii="Times New Roman" w:hAnsi="Times New Roman" w:cs="Times New Roman"/>
          <w:sz w:val="24"/>
        </w:rPr>
      </w:pPr>
    </w:p>
    <w:p w14:paraId="6E600A38">
      <w:pPr>
        <w:spacing w:line="360" w:lineRule="auto"/>
        <w:ind w:firstLine="480" w:firstLineChars="200"/>
        <w:rPr>
          <w:rFonts w:hint="default" w:ascii="Times New Roman" w:hAnsi="Times New Roman" w:cs="Times New Roman"/>
          <w:sz w:val="24"/>
        </w:rPr>
      </w:pPr>
    </w:p>
    <w:p w14:paraId="17334905">
      <w:pPr>
        <w:spacing w:line="360" w:lineRule="auto"/>
        <w:ind w:firstLine="480" w:firstLineChars="200"/>
        <w:rPr>
          <w:rFonts w:hint="default" w:ascii="Times New Roman" w:hAnsi="Times New Roman" w:cs="Times New Roman"/>
          <w:sz w:val="24"/>
        </w:rPr>
      </w:pPr>
    </w:p>
    <w:p w14:paraId="0897D9B7">
      <w:pPr>
        <w:spacing w:line="360" w:lineRule="auto"/>
        <w:ind w:firstLine="480" w:firstLineChars="200"/>
        <w:rPr>
          <w:rFonts w:hint="default" w:ascii="Times New Roman" w:hAnsi="Times New Roman" w:cs="Times New Roman"/>
          <w:sz w:val="24"/>
        </w:rPr>
      </w:pPr>
    </w:p>
    <w:p w14:paraId="3348050A">
      <w:pPr>
        <w:spacing w:line="360" w:lineRule="auto"/>
        <w:ind w:firstLine="480" w:firstLineChars="200"/>
        <w:rPr>
          <w:rFonts w:hint="default" w:ascii="Times New Roman" w:hAnsi="Times New Roman" w:cs="Times New Roman"/>
          <w:sz w:val="24"/>
        </w:rPr>
      </w:pPr>
    </w:p>
    <w:p w14:paraId="4F98CFB5">
      <w:pPr>
        <w:autoSpaceDE w:val="0"/>
        <w:autoSpaceDN w:val="0"/>
        <w:adjustRightInd w:val="0"/>
        <w:spacing w:line="480" w:lineRule="exact"/>
        <w:ind w:firstLine="640" w:firstLineChars="200"/>
        <w:jc w:val="right"/>
        <w:rPr>
          <w:rFonts w:hint="default" w:ascii="仿宋" w:hAnsi="仿宋" w:eastAsia="仿宋" w:cs="仿宋"/>
          <w:b w:val="0"/>
          <w:color w:val="auto"/>
          <w:kern w:val="2"/>
          <w:sz w:val="32"/>
          <w:szCs w:val="32"/>
          <w:lang w:val="en-US" w:eastAsia="zh-CN" w:bidi="ar-SA"/>
        </w:rPr>
      </w:pPr>
    </w:p>
    <w:p w14:paraId="62316E7C">
      <w:pPr>
        <w:autoSpaceDE w:val="0"/>
        <w:autoSpaceDN w:val="0"/>
        <w:adjustRightInd w:val="0"/>
        <w:spacing w:line="480" w:lineRule="exact"/>
        <w:ind w:firstLine="640" w:firstLineChars="200"/>
        <w:jc w:val="right"/>
        <w:rPr>
          <w:rFonts w:hint="default" w:ascii="仿宋" w:hAnsi="仿宋" w:eastAsia="仿宋" w:cs="仿宋"/>
          <w:b w:val="0"/>
          <w:color w:val="auto"/>
          <w:kern w:val="2"/>
          <w:sz w:val="32"/>
          <w:szCs w:val="32"/>
          <w:lang w:val="en-US" w:eastAsia="zh-CN" w:bidi="ar-SA"/>
        </w:rPr>
      </w:pPr>
      <w:r>
        <w:rPr>
          <w:rFonts w:hint="default" w:ascii="仿宋" w:hAnsi="仿宋" w:eastAsia="仿宋" w:cs="仿宋"/>
          <w:b w:val="0"/>
          <w:color w:val="auto"/>
          <w:kern w:val="2"/>
          <w:sz w:val="32"/>
          <w:szCs w:val="32"/>
          <w:lang w:val="en-US" w:eastAsia="zh-CN" w:bidi="ar-SA"/>
        </w:rPr>
        <w:t>《</w:t>
      </w:r>
      <w:r>
        <w:rPr>
          <w:rFonts w:hint="eastAsia" w:ascii="仿宋" w:hAnsi="仿宋" w:eastAsia="仿宋" w:cs="仿宋"/>
          <w:b w:val="0"/>
          <w:color w:val="auto"/>
          <w:kern w:val="2"/>
          <w:sz w:val="32"/>
          <w:szCs w:val="32"/>
          <w:lang w:val="en-US" w:eastAsia="zh-CN" w:bidi="ar-SA"/>
        </w:rPr>
        <w:t>超细干粉灭火系统技术规范</w:t>
      </w:r>
      <w:r>
        <w:rPr>
          <w:rFonts w:hint="default" w:ascii="仿宋" w:hAnsi="仿宋" w:eastAsia="仿宋" w:cs="仿宋"/>
          <w:b w:val="0"/>
          <w:color w:val="auto"/>
          <w:kern w:val="2"/>
          <w:sz w:val="32"/>
          <w:szCs w:val="32"/>
          <w:lang w:val="en-US" w:eastAsia="zh-CN" w:bidi="ar-SA"/>
        </w:rPr>
        <w:t>》标准编制组</w:t>
      </w:r>
    </w:p>
    <w:p w14:paraId="6FDD9D1C">
      <w:pPr>
        <w:autoSpaceDE w:val="0"/>
        <w:autoSpaceDN w:val="0"/>
        <w:adjustRightInd w:val="0"/>
        <w:spacing w:line="480" w:lineRule="exact"/>
        <w:ind w:firstLine="640" w:firstLineChars="200"/>
        <w:jc w:val="right"/>
        <w:rPr>
          <w:rFonts w:hint="default"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 xml:space="preserve">                                   2024年6月28日</w:t>
      </w:r>
    </w:p>
    <w:p w14:paraId="5CCFB144">
      <w:pPr>
        <w:spacing w:line="360" w:lineRule="auto"/>
        <w:ind w:firstLine="480" w:firstLineChars="200"/>
        <w:jc w:val="right"/>
        <w:rPr>
          <w:rFonts w:hint="default" w:ascii="Times New Roman" w:hAnsi="Times New Roman" w:cs="Times New Roman"/>
          <w:sz w:val="24"/>
        </w:rPr>
      </w:pPr>
      <w:bookmarkStart w:id="28" w:name="_GoBack"/>
      <w:bookmarkEnd w:id="28"/>
    </w:p>
    <w:sectPr>
      <w:footerReference r:id="rId4" w:type="first"/>
      <w:footerReference r:id="rId3" w:type="default"/>
      <w:pgSz w:w="12240" w:h="15840"/>
      <w:pgMar w:top="1440" w:right="1800" w:bottom="1440" w:left="1800" w:header="720" w:footer="720" w:gutter="0"/>
      <w:pgNumType w:start="1"/>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Segoe UI">
    <w:panose1 w:val="020B0502040204020203"/>
    <w:charset w:val="00"/>
    <w:family w:val="auto"/>
    <w:pitch w:val="default"/>
    <w:sig w:usb0="E4002EFF" w:usb1="C000E47F" w:usb2="00000009" w:usb3="00000000" w:csb0="200001FF" w:csb1="00000000"/>
  </w:font>
  <w:font w:name="方正粗黑宋简体">
    <w:panose1 w:val="02000000000000000000"/>
    <w:charset w:val="86"/>
    <w:family w:val="auto"/>
    <w:pitch w:val="default"/>
    <w:sig w:usb0="A00002BF" w:usb1="184F6CFA" w:usb2="00000012" w:usb3="00000000" w:csb0="00040001" w:csb1="00000000"/>
  </w:font>
  <w:font w:name="icomoon">
    <w:panose1 w:val="00000000000000000000"/>
    <w:charset w:val="00"/>
    <w:family w:val="auto"/>
    <w:pitch w:val="default"/>
    <w:sig w:usb0="00000001" w:usb1="1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83" w:usb1="288F0000" w:usb2="00000006" w:usb3="00000000" w:csb0="00040001" w:csb1="00000000"/>
  </w:font>
  <w:font w:name="Microsoft JhengHei">
    <w:panose1 w:val="020B0604030504040204"/>
    <w:charset w:val="88"/>
    <w:family w:val="auto"/>
    <w:pitch w:val="default"/>
    <w:sig w:usb0="000002A7" w:usb1="28CF4400" w:usb2="00000016" w:usb3="00000000" w:csb0="00100009" w:csb1="00000000"/>
  </w:font>
  <w:font w:name="Microsoft JhengHei UI">
    <w:panose1 w:val="020B0604030504040204"/>
    <w:charset w:val="88"/>
    <w:family w:val="auto"/>
    <w:pitch w:val="default"/>
    <w:sig w:usb0="000002A7" w:usb1="28CF4400" w:usb2="00000016" w:usb3="00000000" w:csb0="00100009" w:csb1="00000000"/>
  </w:font>
  <w:font w:name="Bahnschrift Condensed">
    <w:panose1 w:val="020B0502040204020203"/>
    <w:charset w:val="00"/>
    <w:family w:val="auto"/>
    <w:pitch w:val="default"/>
    <w:sig w:usb0="8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0D4F7">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Pr>
      <w:t>11</w:t>
    </w:r>
    <w:r>
      <w:rPr>
        <w:rStyle w:val="12"/>
      </w:rPr>
      <w:fldChar w:fldCharType="end"/>
    </w:r>
  </w:p>
  <w:p w14:paraId="6B82EF3A">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B217">
    <w:pPr>
      <w:pStyle w:val="7"/>
      <w:jc w:val="center"/>
    </w:pPr>
    <w:r>
      <w:fldChar w:fldCharType="begin"/>
    </w:r>
    <w:r>
      <w:instrText xml:space="preserve">PAGE   \* MERGEFORMAT</w:instrText>
    </w:r>
    <w:r>
      <w:fldChar w:fldCharType="separate"/>
    </w:r>
    <w:r>
      <w:rPr>
        <w:lang w:val="zh-CN"/>
      </w:rPr>
      <w:t>1</w:t>
    </w:r>
    <w:r>
      <w:rPr>
        <w:lang w:val="zh-CN"/>
      </w:rPr>
      <w:fldChar w:fldCharType="end"/>
    </w:r>
  </w:p>
  <w:p w14:paraId="64ED304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53EFC"/>
    <w:multiLevelType w:val="singleLevel"/>
    <w:tmpl w:val="88E53EFC"/>
    <w:lvl w:ilvl="0" w:tentative="0">
      <w:start w:val="1"/>
      <w:numFmt w:val="decimal"/>
      <w:lvlText w:val="%1."/>
      <w:lvlJc w:val="left"/>
      <w:pPr>
        <w:ind w:left="425" w:hanging="425"/>
      </w:pPr>
      <w:rPr>
        <w:rFonts w:hint="default"/>
      </w:rPr>
    </w:lvl>
  </w:abstractNum>
  <w:abstractNum w:abstractNumId="1">
    <w:nsid w:val="C5CEDB2C"/>
    <w:multiLevelType w:val="singleLevel"/>
    <w:tmpl w:val="C5CEDB2C"/>
    <w:lvl w:ilvl="0" w:tentative="0">
      <w:start w:val="1"/>
      <w:numFmt w:val="decimal"/>
      <w:lvlText w:val="%1."/>
      <w:lvlJc w:val="left"/>
      <w:pPr>
        <w:ind w:left="425" w:hanging="425"/>
      </w:pPr>
      <w:rPr>
        <w:rFonts w:hint="default"/>
      </w:rPr>
    </w:lvl>
  </w:abstractNum>
  <w:abstractNum w:abstractNumId="2">
    <w:nsid w:val="E6F61B96"/>
    <w:multiLevelType w:val="singleLevel"/>
    <w:tmpl w:val="E6F61B96"/>
    <w:lvl w:ilvl="0" w:tentative="0">
      <w:start w:val="4"/>
      <w:numFmt w:val="chineseCounting"/>
      <w:suff w:val="nothing"/>
      <w:lvlText w:val="（%1）"/>
      <w:lvlJc w:val="left"/>
      <w:rPr>
        <w:rFonts w:hint="eastAsia"/>
      </w:rPr>
    </w:lvl>
  </w:abstractNum>
  <w:abstractNum w:abstractNumId="3">
    <w:nsid w:val="115E081A"/>
    <w:multiLevelType w:val="multilevel"/>
    <w:tmpl w:val="115E081A"/>
    <w:lvl w:ilvl="0" w:tentative="0">
      <w:start w:val="1"/>
      <w:numFmt w:val="decimal"/>
      <w:pStyle w:val="30"/>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pStyle w:val="32"/>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pStyle w:val="31"/>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4">
    <w:nsid w:val="171E1C12"/>
    <w:multiLevelType w:val="singleLevel"/>
    <w:tmpl w:val="171E1C12"/>
    <w:lvl w:ilvl="0" w:tentative="0">
      <w:start w:val="3"/>
      <w:numFmt w:val="chineseCounting"/>
      <w:suff w:val="nothing"/>
      <w:lvlText w:val="%1、"/>
      <w:lvlJc w:val="left"/>
      <w:rPr>
        <w:rFonts w:hint="eastAsia"/>
      </w:rPr>
    </w:lvl>
  </w:abstractNum>
  <w:abstractNum w:abstractNumId="5">
    <w:nsid w:val="6258F70E"/>
    <w:multiLevelType w:val="singleLevel"/>
    <w:tmpl w:val="6258F70E"/>
    <w:lvl w:ilvl="0" w:tentative="0">
      <w:start w:val="3"/>
      <w:numFmt w:val="chineseCounting"/>
      <w:suff w:val="nothing"/>
      <w:lvlText w:val="（%1）"/>
      <w:lvlJc w:val="left"/>
      <w:rPr>
        <w:rFonts w:hint="eastAsia"/>
      </w:rPr>
    </w:lvl>
  </w:abstractNum>
  <w:abstractNum w:abstractNumId="6">
    <w:nsid w:val="6CEA2025"/>
    <w:multiLevelType w:val="multilevel"/>
    <w:tmpl w:val="6CEA2025"/>
    <w:lvl w:ilvl="0" w:tentative="0">
      <w:start w:val="1"/>
      <w:numFmt w:val="none"/>
      <w:pStyle w:val="19"/>
      <w:suff w:val="nothing"/>
      <w:lvlText w:val="%1"/>
      <w:lvlJc w:val="left"/>
      <w:rPr>
        <w:rFonts w:hint="default" w:ascii="Times New Roman" w:hAnsi="Times New Roman" w:cs="Times New Roman"/>
        <w:b/>
        <w:i w:val="0"/>
        <w:sz w:val="21"/>
      </w:rPr>
    </w:lvl>
    <w:lvl w:ilvl="1" w:tentative="0">
      <w:start w:val="1"/>
      <w:numFmt w:val="decimal"/>
      <w:pStyle w:val="20"/>
      <w:suff w:val="nothing"/>
      <w:lvlText w:val="%1%2　"/>
      <w:lvlJc w:val="left"/>
      <w:rPr>
        <w:rFonts w:hint="eastAsia" w:ascii="黑体" w:hAnsi="Times New Roman" w:eastAsia="黑体" w:cs="Times New Roman"/>
        <w:b w:val="0"/>
        <w:i w:val="0"/>
        <w:sz w:val="21"/>
      </w:rPr>
    </w:lvl>
    <w:lvl w:ilvl="2" w:tentative="0">
      <w:start w:val="1"/>
      <w:numFmt w:val="decimal"/>
      <w:pStyle w:val="21"/>
      <w:suff w:val="nothing"/>
      <w:lvlText w:val="%1%2.%3　"/>
      <w:lvlJc w:val="left"/>
      <w:pPr>
        <w:ind w:left="210"/>
      </w:pPr>
      <w:rPr>
        <w:rFonts w:hint="eastAsia" w:ascii="黑体" w:hAnsi="Times New Roman" w:eastAsia="黑体" w:cs="Times New Roman"/>
        <w:b w:val="0"/>
        <w:i w:val="0"/>
        <w:sz w:val="21"/>
        <w:szCs w:val="21"/>
      </w:rPr>
    </w:lvl>
    <w:lvl w:ilvl="3" w:tentative="0">
      <w:start w:val="1"/>
      <w:numFmt w:val="decimal"/>
      <w:pStyle w:val="22"/>
      <w:suff w:val="nothing"/>
      <w:lvlText w:val="%1%2.%3.%4　"/>
      <w:lvlJc w:val="left"/>
      <w:rPr>
        <w:rFonts w:hint="eastAsia" w:ascii="黑体" w:hAnsi="Times New Roman" w:eastAsia="黑体" w:cs="Times New Roman"/>
        <w:b w:val="0"/>
        <w:i w:val="0"/>
        <w:sz w:val="21"/>
      </w:rPr>
    </w:lvl>
    <w:lvl w:ilvl="4" w:tentative="0">
      <w:start w:val="1"/>
      <w:numFmt w:val="decimal"/>
      <w:pStyle w:val="23"/>
      <w:suff w:val="nothing"/>
      <w:lvlText w:val="%1%2.%3.%4.%5　"/>
      <w:lvlJc w:val="left"/>
      <w:rPr>
        <w:rFonts w:hint="eastAsia" w:ascii="黑体" w:hAnsi="Times New Roman" w:eastAsia="黑体" w:cs="Times New Roman"/>
        <w:b w:val="0"/>
        <w:i w:val="0"/>
        <w:sz w:val="21"/>
      </w:rPr>
    </w:lvl>
    <w:lvl w:ilvl="5" w:tentative="0">
      <w:start w:val="1"/>
      <w:numFmt w:val="decimal"/>
      <w:pStyle w:val="24"/>
      <w:suff w:val="nothing"/>
      <w:lvlText w:val="%1%2.%3.%4.%5.%6　"/>
      <w:lvlJc w:val="left"/>
      <w:rPr>
        <w:rFonts w:hint="eastAsia" w:ascii="黑体" w:hAnsi="Times New Roman" w:eastAsia="黑体" w:cs="Times New Roman"/>
        <w:b w:val="0"/>
        <w:i w:val="0"/>
        <w:sz w:val="21"/>
      </w:rPr>
    </w:lvl>
    <w:lvl w:ilvl="6" w:tentative="0">
      <w:start w:val="1"/>
      <w:numFmt w:val="decimal"/>
      <w:pStyle w:val="25"/>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6"/>
  </w:num>
  <w:num w:numId="2">
    <w:abstractNumId w:val="3"/>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jYzlkMDE0NzczY2VhM2IyYzlhYThjYzVjMDc4NzQifQ=="/>
  </w:docVars>
  <w:rsids>
    <w:rsidRoot w:val="005501E9"/>
    <w:rsid w:val="00005D7B"/>
    <w:rsid w:val="00097E9D"/>
    <w:rsid w:val="000B69AD"/>
    <w:rsid w:val="000B6BFB"/>
    <w:rsid w:val="000D10B3"/>
    <w:rsid w:val="000E2577"/>
    <w:rsid w:val="000E4AB9"/>
    <w:rsid w:val="00117914"/>
    <w:rsid w:val="00117930"/>
    <w:rsid w:val="00120F14"/>
    <w:rsid w:val="00122EA0"/>
    <w:rsid w:val="001721C8"/>
    <w:rsid w:val="00172341"/>
    <w:rsid w:val="00173BDE"/>
    <w:rsid w:val="0017698F"/>
    <w:rsid w:val="00176A1C"/>
    <w:rsid w:val="00181978"/>
    <w:rsid w:val="00192BE5"/>
    <w:rsid w:val="001A25A7"/>
    <w:rsid w:val="001B2868"/>
    <w:rsid w:val="001C6251"/>
    <w:rsid w:val="001C7157"/>
    <w:rsid w:val="00250CC1"/>
    <w:rsid w:val="00250FD6"/>
    <w:rsid w:val="002B2A1D"/>
    <w:rsid w:val="002B3011"/>
    <w:rsid w:val="002D6A4A"/>
    <w:rsid w:val="002E2117"/>
    <w:rsid w:val="00302CAA"/>
    <w:rsid w:val="003231F2"/>
    <w:rsid w:val="00331482"/>
    <w:rsid w:val="00340482"/>
    <w:rsid w:val="0035796B"/>
    <w:rsid w:val="00361CA5"/>
    <w:rsid w:val="003C3617"/>
    <w:rsid w:val="003D2B7B"/>
    <w:rsid w:val="003D5B0B"/>
    <w:rsid w:val="003F0601"/>
    <w:rsid w:val="003F7371"/>
    <w:rsid w:val="00401E24"/>
    <w:rsid w:val="00407896"/>
    <w:rsid w:val="00414BD2"/>
    <w:rsid w:val="004327C9"/>
    <w:rsid w:val="00442BE8"/>
    <w:rsid w:val="00460090"/>
    <w:rsid w:val="00491A91"/>
    <w:rsid w:val="004C1FF8"/>
    <w:rsid w:val="004C3A34"/>
    <w:rsid w:val="004E1F90"/>
    <w:rsid w:val="004E33EE"/>
    <w:rsid w:val="004F1FB9"/>
    <w:rsid w:val="0051673A"/>
    <w:rsid w:val="00521A7A"/>
    <w:rsid w:val="005360C7"/>
    <w:rsid w:val="005501E9"/>
    <w:rsid w:val="005643DE"/>
    <w:rsid w:val="0056629F"/>
    <w:rsid w:val="005662CA"/>
    <w:rsid w:val="005D6C95"/>
    <w:rsid w:val="005E6039"/>
    <w:rsid w:val="005F3E5A"/>
    <w:rsid w:val="00620763"/>
    <w:rsid w:val="00632A9C"/>
    <w:rsid w:val="00646F09"/>
    <w:rsid w:val="00651207"/>
    <w:rsid w:val="0065488E"/>
    <w:rsid w:val="00655CF9"/>
    <w:rsid w:val="00682E33"/>
    <w:rsid w:val="00692C85"/>
    <w:rsid w:val="006A2916"/>
    <w:rsid w:val="006B21CE"/>
    <w:rsid w:val="006E06B0"/>
    <w:rsid w:val="00736985"/>
    <w:rsid w:val="007503DD"/>
    <w:rsid w:val="00756143"/>
    <w:rsid w:val="00791088"/>
    <w:rsid w:val="007A6513"/>
    <w:rsid w:val="007B7ABB"/>
    <w:rsid w:val="007E3224"/>
    <w:rsid w:val="007E7DDF"/>
    <w:rsid w:val="00803D3F"/>
    <w:rsid w:val="00817C34"/>
    <w:rsid w:val="0083654C"/>
    <w:rsid w:val="008656CC"/>
    <w:rsid w:val="008854C0"/>
    <w:rsid w:val="008A22F1"/>
    <w:rsid w:val="008B2D01"/>
    <w:rsid w:val="008C38E0"/>
    <w:rsid w:val="008D2A95"/>
    <w:rsid w:val="0093257F"/>
    <w:rsid w:val="00967272"/>
    <w:rsid w:val="00987490"/>
    <w:rsid w:val="009928F0"/>
    <w:rsid w:val="009A0728"/>
    <w:rsid w:val="009B4A80"/>
    <w:rsid w:val="009C4C59"/>
    <w:rsid w:val="00A10F08"/>
    <w:rsid w:val="00A12CBD"/>
    <w:rsid w:val="00A26BB0"/>
    <w:rsid w:val="00A30798"/>
    <w:rsid w:val="00A34296"/>
    <w:rsid w:val="00A37640"/>
    <w:rsid w:val="00A41A39"/>
    <w:rsid w:val="00A548C4"/>
    <w:rsid w:val="00A62C32"/>
    <w:rsid w:val="00AB2DBF"/>
    <w:rsid w:val="00AC1988"/>
    <w:rsid w:val="00AD0722"/>
    <w:rsid w:val="00AD3666"/>
    <w:rsid w:val="00AD56F4"/>
    <w:rsid w:val="00AF1496"/>
    <w:rsid w:val="00B02D96"/>
    <w:rsid w:val="00B058A5"/>
    <w:rsid w:val="00B059C6"/>
    <w:rsid w:val="00B06655"/>
    <w:rsid w:val="00B104EB"/>
    <w:rsid w:val="00B14822"/>
    <w:rsid w:val="00B2428F"/>
    <w:rsid w:val="00B4695F"/>
    <w:rsid w:val="00B57CAF"/>
    <w:rsid w:val="00B7410F"/>
    <w:rsid w:val="00B8379A"/>
    <w:rsid w:val="00B85714"/>
    <w:rsid w:val="00B90361"/>
    <w:rsid w:val="00B91130"/>
    <w:rsid w:val="00BC1D39"/>
    <w:rsid w:val="00BE5448"/>
    <w:rsid w:val="00BE786B"/>
    <w:rsid w:val="00BF5020"/>
    <w:rsid w:val="00C013A5"/>
    <w:rsid w:val="00C17AA3"/>
    <w:rsid w:val="00C2712F"/>
    <w:rsid w:val="00C31DFF"/>
    <w:rsid w:val="00C53A0A"/>
    <w:rsid w:val="00C81D19"/>
    <w:rsid w:val="00C94A84"/>
    <w:rsid w:val="00CA5E1D"/>
    <w:rsid w:val="00CB7517"/>
    <w:rsid w:val="00CD1685"/>
    <w:rsid w:val="00D0359A"/>
    <w:rsid w:val="00D30456"/>
    <w:rsid w:val="00D31BE1"/>
    <w:rsid w:val="00D5158C"/>
    <w:rsid w:val="00D61D9B"/>
    <w:rsid w:val="00DA1FCB"/>
    <w:rsid w:val="00DD28C9"/>
    <w:rsid w:val="00DF690B"/>
    <w:rsid w:val="00E1274D"/>
    <w:rsid w:val="00E31C0C"/>
    <w:rsid w:val="00E57B63"/>
    <w:rsid w:val="00E725F9"/>
    <w:rsid w:val="00ED22BD"/>
    <w:rsid w:val="00ED556E"/>
    <w:rsid w:val="00F0334C"/>
    <w:rsid w:val="00F37BC5"/>
    <w:rsid w:val="00F41939"/>
    <w:rsid w:val="00F770EB"/>
    <w:rsid w:val="00F9008A"/>
    <w:rsid w:val="00FB33CF"/>
    <w:rsid w:val="00FB3A00"/>
    <w:rsid w:val="00FD6D91"/>
    <w:rsid w:val="00FD7A4E"/>
    <w:rsid w:val="00FE6AD3"/>
    <w:rsid w:val="00FF6255"/>
    <w:rsid w:val="01DA2ECE"/>
    <w:rsid w:val="023B6BC5"/>
    <w:rsid w:val="02441F1E"/>
    <w:rsid w:val="039448DE"/>
    <w:rsid w:val="04AB1CEA"/>
    <w:rsid w:val="04FF212C"/>
    <w:rsid w:val="053E63FE"/>
    <w:rsid w:val="084E5ABA"/>
    <w:rsid w:val="08722223"/>
    <w:rsid w:val="091C481F"/>
    <w:rsid w:val="092B3E10"/>
    <w:rsid w:val="0AC059D5"/>
    <w:rsid w:val="0C3D22AD"/>
    <w:rsid w:val="0C814BCC"/>
    <w:rsid w:val="0C84546F"/>
    <w:rsid w:val="0D935B07"/>
    <w:rsid w:val="0DCF7EAF"/>
    <w:rsid w:val="0ECE0D57"/>
    <w:rsid w:val="0F721EFA"/>
    <w:rsid w:val="104A6951"/>
    <w:rsid w:val="10EC5C5A"/>
    <w:rsid w:val="10F1692E"/>
    <w:rsid w:val="131336A3"/>
    <w:rsid w:val="133B1065"/>
    <w:rsid w:val="148B0D56"/>
    <w:rsid w:val="150E6E30"/>
    <w:rsid w:val="15D2501B"/>
    <w:rsid w:val="164125A5"/>
    <w:rsid w:val="17263548"/>
    <w:rsid w:val="17B85FA4"/>
    <w:rsid w:val="19BD63E6"/>
    <w:rsid w:val="1A961E12"/>
    <w:rsid w:val="1AB02B97"/>
    <w:rsid w:val="1ADD0016"/>
    <w:rsid w:val="1B45310B"/>
    <w:rsid w:val="1B906715"/>
    <w:rsid w:val="1BD95505"/>
    <w:rsid w:val="1C61556B"/>
    <w:rsid w:val="1C7D24F1"/>
    <w:rsid w:val="20211698"/>
    <w:rsid w:val="20696A4F"/>
    <w:rsid w:val="20D73467"/>
    <w:rsid w:val="20E6725D"/>
    <w:rsid w:val="20EC135F"/>
    <w:rsid w:val="210718F2"/>
    <w:rsid w:val="215B4AEF"/>
    <w:rsid w:val="216F69AA"/>
    <w:rsid w:val="220152DE"/>
    <w:rsid w:val="22C247B7"/>
    <w:rsid w:val="23411E36"/>
    <w:rsid w:val="235A6343"/>
    <w:rsid w:val="23927503"/>
    <w:rsid w:val="249A2064"/>
    <w:rsid w:val="25505F1B"/>
    <w:rsid w:val="268A1A35"/>
    <w:rsid w:val="26D22DA5"/>
    <w:rsid w:val="2706621B"/>
    <w:rsid w:val="283635B9"/>
    <w:rsid w:val="28EC5962"/>
    <w:rsid w:val="29733045"/>
    <w:rsid w:val="2AFF256A"/>
    <w:rsid w:val="2CD07D87"/>
    <w:rsid w:val="2D373094"/>
    <w:rsid w:val="2DB476A8"/>
    <w:rsid w:val="2DC775BD"/>
    <w:rsid w:val="2E7C1A67"/>
    <w:rsid w:val="2FA54568"/>
    <w:rsid w:val="312370FA"/>
    <w:rsid w:val="33FF1A06"/>
    <w:rsid w:val="340547BA"/>
    <w:rsid w:val="352A3B88"/>
    <w:rsid w:val="35E054DE"/>
    <w:rsid w:val="3613540D"/>
    <w:rsid w:val="36436413"/>
    <w:rsid w:val="375F2433"/>
    <w:rsid w:val="37B06B2D"/>
    <w:rsid w:val="37D22026"/>
    <w:rsid w:val="37DD4CB3"/>
    <w:rsid w:val="38415FDC"/>
    <w:rsid w:val="38D560CA"/>
    <w:rsid w:val="38FF0BC1"/>
    <w:rsid w:val="3ADC6498"/>
    <w:rsid w:val="3B5B6060"/>
    <w:rsid w:val="3FA9247B"/>
    <w:rsid w:val="3FF85455"/>
    <w:rsid w:val="404F79BB"/>
    <w:rsid w:val="409D65E2"/>
    <w:rsid w:val="4128024A"/>
    <w:rsid w:val="414A5F02"/>
    <w:rsid w:val="41B049FA"/>
    <w:rsid w:val="41EE0F83"/>
    <w:rsid w:val="42562465"/>
    <w:rsid w:val="43BA52D0"/>
    <w:rsid w:val="445175A7"/>
    <w:rsid w:val="44DE5C1D"/>
    <w:rsid w:val="45220BFC"/>
    <w:rsid w:val="45AC3006"/>
    <w:rsid w:val="45BB44D2"/>
    <w:rsid w:val="47937C49"/>
    <w:rsid w:val="49646160"/>
    <w:rsid w:val="49CB27F0"/>
    <w:rsid w:val="4A7A60C8"/>
    <w:rsid w:val="4C131AAB"/>
    <w:rsid w:val="4C2C6B36"/>
    <w:rsid w:val="4CA85391"/>
    <w:rsid w:val="4CE1742C"/>
    <w:rsid w:val="4D12469A"/>
    <w:rsid w:val="4D3C1137"/>
    <w:rsid w:val="4F135C06"/>
    <w:rsid w:val="4F18319B"/>
    <w:rsid w:val="508605D9"/>
    <w:rsid w:val="50C2369D"/>
    <w:rsid w:val="515C15D6"/>
    <w:rsid w:val="51A7759A"/>
    <w:rsid w:val="52402BA5"/>
    <w:rsid w:val="52DA4EE4"/>
    <w:rsid w:val="537F5871"/>
    <w:rsid w:val="53DF6F9C"/>
    <w:rsid w:val="541045FD"/>
    <w:rsid w:val="561F5757"/>
    <w:rsid w:val="578A30A4"/>
    <w:rsid w:val="5A274774"/>
    <w:rsid w:val="5A3207EE"/>
    <w:rsid w:val="5B4D28EC"/>
    <w:rsid w:val="5BDE1CB3"/>
    <w:rsid w:val="5C48030E"/>
    <w:rsid w:val="5C63353B"/>
    <w:rsid w:val="5CCE0701"/>
    <w:rsid w:val="5D2A2A61"/>
    <w:rsid w:val="5DFA311E"/>
    <w:rsid w:val="5EF64B7B"/>
    <w:rsid w:val="60A76A75"/>
    <w:rsid w:val="62337D14"/>
    <w:rsid w:val="638D5573"/>
    <w:rsid w:val="63B34A22"/>
    <w:rsid w:val="63C03933"/>
    <w:rsid w:val="63E54F69"/>
    <w:rsid w:val="64E32012"/>
    <w:rsid w:val="64E50801"/>
    <w:rsid w:val="64FD4EB5"/>
    <w:rsid w:val="652879E1"/>
    <w:rsid w:val="65613F94"/>
    <w:rsid w:val="657D39E0"/>
    <w:rsid w:val="65D5373C"/>
    <w:rsid w:val="65FE0EE5"/>
    <w:rsid w:val="665D1664"/>
    <w:rsid w:val="684921C0"/>
    <w:rsid w:val="684D3020"/>
    <w:rsid w:val="68AF170A"/>
    <w:rsid w:val="69597464"/>
    <w:rsid w:val="695F741C"/>
    <w:rsid w:val="6ABC311D"/>
    <w:rsid w:val="6B030D4C"/>
    <w:rsid w:val="6C586E75"/>
    <w:rsid w:val="6CC87B57"/>
    <w:rsid w:val="6DCC632A"/>
    <w:rsid w:val="6E3422D8"/>
    <w:rsid w:val="6E887400"/>
    <w:rsid w:val="6F032F6A"/>
    <w:rsid w:val="6F670E6B"/>
    <w:rsid w:val="6FB96621"/>
    <w:rsid w:val="6FFC56D3"/>
    <w:rsid w:val="71924C8F"/>
    <w:rsid w:val="728C51BE"/>
    <w:rsid w:val="73375A36"/>
    <w:rsid w:val="746B7406"/>
    <w:rsid w:val="75C537CD"/>
    <w:rsid w:val="77664B19"/>
    <w:rsid w:val="77E868C1"/>
    <w:rsid w:val="78EE69F9"/>
    <w:rsid w:val="793D381D"/>
    <w:rsid w:val="799F7E92"/>
    <w:rsid w:val="7AA335E9"/>
    <w:rsid w:val="7C6D5F2E"/>
    <w:rsid w:val="7C6F7FEF"/>
    <w:rsid w:val="7C945DF4"/>
    <w:rsid w:val="7D8D054C"/>
    <w:rsid w:val="7E862BD4"/>
    <w:rsid w:val="7E8C15CD"/>
    <w:rsid w:val="7EC40C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9"/>
    <w:pPr>
      <w:keepNext/>
      <w:keepLines/>
      <w:spacing w:before="340" w:after="330" w:line="578" w:lineRule="auto"/>
      <w:outlineLvl w:val="0"/>
    </w:pPr>
    <w:rPr>
      <w:b/>
      <w:kern w:val="44"/>
      <w:sz w:val="44"/>
      <w:szCs w:val="20"/>
    </w:rPr>
  </w:style>
  <w:style w:type="paragraph" w:styleId="3">
    <w:name w:val="heading 2"/>
    <w:basedOn w:val="1"/>
    <w:next w:val="1"/>
    <w:unhideWhenUsed/>
    <w:qFormat/>
    <w:locked/>
    <w:uiPriority w:val="0"/>
    <w:pPr>
      <w:keepNext/>
      <w:keepLines/>
      <w:spacing w:before="120" w:beforeLines="0" w:beforeAutospacing="0" w:after="120" w:afterLines="0" w:afterAutospacing="0" w:line="413" w:lineRule="auto"/>
      <w:ind w:firstLine="422" w:firstLineChars="200"/>
      <w:outlineLvl w:val="1"/>
    </w:pPr>
    <w:rPr>
      <w:rFonts w:ascii="Arial" w:hAnsi="Arial"/>
      <w:b/>
      <w:sz w:val="28"/>
    </w:rPr>
  </w:style>
  <w:style w:type="character" w:default="1" w:styleId="11">
    <w:name w:val="Default Paragraph Font"/>
    <w:autoRedefine/>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8"/>
    <w:qFormat/>
    <w:uiPriority w:val="99"/>
    <w:pPr>
      <w:ind w:firstLine="360"/>
    </w:pPr>
    <w:rPr>
      <w:szCs w:val="20"/>
    </w:rPr>
  </w:style>
  <w:style w:type="paragraph" w:styleId="5">
    <w:name w:val="Date"/>
    <w:basedOn w:val="1"/>
    <w:next w:val="1"/>
    <w:link w:val="15"/>
    <w:autoRedefine/>
    <w:qFormat/>
    <w:uiPriority w:val="99"/>
    <w:pPr>
      <w:ind w:left="100" w:leftChars="2500"/>
    </w:pPr>
    <w:rPr>
      <w:b/>
      <w:sz w:val="24"/>
      <w:szCs w:val="20"/>
    </w:rPr>
  </w:style>
  <w:style w:type="paragraph" w:styleId="6">
    <w:name w:val="Balloon Text"/>
    <w:basedOn w:val="1"/>
    <w:link w:val="28"/>
    <w:qFormat/>
    <w:uiPriority w:val="99"/>
    <w:rPr>
      <w:sz w:val="18"/>
      <w:szCs w:val="20"/>
    </w:rPr>
  </w:style>
  <w:style w:type="paragraph" w:styleId="7">
    <w:name w:val="footer"/>
    <w:basedOn w:val="1"/>
    <w:link w:val="17"/>
    <w:autoRedefine/>
    <w:qFormat/>
    <w:uiPriority w:val="99"/>
    <w:pPr>
      <w:tabs>
        <w:tab w:val="center" w:pos="4153"/>
        <w:tab w:val="right" w:pos="8306"/>
      </w:tabs>
      <w:snapToGrid w:val="0"/>
      <w:jc w:val="left"/>
    </w:pPr>
    <w:rPr>
      <w:sz w:val="18"/>
      <w:szCs w:val="20"/>
    </w:rPr>
  </w:style>
  <w:style w:type="paragraph" w:styleId="8">
    <w:name w:val="header"/>
    <w:basedOn w:val="1"/>
    <w:link w:val="27"/>
    <w:autoRedefine/>
    <w:qFormat/>
    <w:uiPriority w:val="99"/>
    <w:pPr>
      <w:pBdr>
        <w:bottom w:val="single" w:color="auto" w:sz="6" w:space="1"/>
      </w:pBdr>
      <w:tabs>
        <w:tab w:val="center" w:pos="4153"/>
        <w:tab w:val="right" w:pos="8306"/>
      </w:tabs>
      <w:snapToGrid w:val="0"/>
      <w:jc w:val="center"/>
    </w:pPr>
    <w:rPr>
      <w:sz w:val="18"/>
      <w:szCs w:val="20"/>
    </w:rPr>
  </w:style>
  <w:style w:type="paragraph" w:styleId="9">
    <w:name w:val="toc 1"/>
    <w:basedOn w:val="1"/>
    <w:next w:val="1"/>
    <w:autoRedefine/>
    <w:qFormat/>
    <w:uiPriority w:val="99"/>
    <w:pPr>
      <w:tabs>
        <w:tab w:val="right" w:leader="dot" w:pos="8630"/>
      </w:tabs>
      <w:spacing w:line="360" w:lineRule="auto"/>
      <w:jc w:val="center"/>
    </w:pPr>
    <w:rPr>
      <w:rFonts w:ascii="宋体" w:hAnsi="宋体" w:cs="Arial Unicode MS"/>
      <w:sz w:val="28"/>
      <w:szCs w:val="28"/>
    </w:rPr>
  </w:style>
  <w:style w:type="character" w:styleId="12">
    <w:name w:val="page number"/>
    <w:basedOn w:val="11"/>
    <w:autoRedefine/>
    <w:qFormat/>
    <w:uiPriority w:val="99"/>
    <w:rPr>
      <w:rFonts w:cs="Times New Roman"/>
    </w:rPr>
  </w:style>
  <w:style w:type="character" w:styleId="13">
    <w:name w:val="Hyperlink"/>
    <w:basedOn w:val="11"/>
    <w:autoRedefine/>
    <w:qFormat/>
    <w:uiPriority w:val="99"/>
    <w:rPr>
      <w:rFonts w:cs="Times New Roman"/>
      <w:color w:val="0000FF"/>
      <w:u w:val="single"/>
    </w:rPr>
  </w:style>
  <w:style w:type="character" w:customStyle="1" w:styleId="14">
    <w:name w:val="Heading 1 Char"/>
    <w:basedOn w:val="11"/>
    <w:link w:val="2"/>
    <w:qFormat/>
    <w:locked/>
    <w:uiPriority w:val="99"/>
    <w:rPr>
      <w:rFonts w:cs="Times New Roman"/>
      <w:b/>
      <w:kern w:val="44"/>
      <w:sz w:val="44"/>
    </w:rPr>
  </w:style>
  <w:style w:type="character" w:customStyle="1" w:styleId="15">
    <w:name w:val="Date Char"/>
    <w:basedOn w:val="11"/>
    <w:link w:val="5"/>
    <w:qFormat/>
    <w:locked/>
    <w:uiPriority w:val="99"/>
    <w:rPr>
      <w:rFonts w:cs="Times New Roman"/>
      <w:b/>
      <w:kern w:val="2"/>
      <w:sz w:val="24"/>
    </w:rPr>
  </w:style>
  <w:style w:type="paragraph" w:customStyle="1" w:styleId="16">
    <w:name w:val="段"/>
    <w:link w:val="26"/>
    <w:autoRedefine/>
    <w:qFormat/>
    <w:uiPriority w:val="99"/>
    <w:pPr>
      <w:autoSpaceDE w:val="0"/>
      <w:autoSpaceDN w:val="0"/>
      <w:ind w:firstLine="200" w:firstLineChars="200"/>
      <w:jc w:val="both"/>
    </w:pPr>
    <w:rPr>
      <w:rFonts w:ascii="宋体" w:hAnsi="Times New Roman" w:eastAsia="宋体" w:cs="Times New Roman"/>
      <w:kern w:val="0"/>
      <w:sz w:val="22"/>
      <w:szCs w:val="22"/>
      <w:lang w:val="en-US" w:eastAsia="zh-CN" w:bidi="ar-SA"/>
    </w:rPr>
  </w:style>
  <w:style w:type="character" w:customStyle="1" w:styleId="17">
    <w:name w:val="Footer Char"/>
    <w:basedOn w:val="11"/>
    <w:link w:val="7"/>
    <w:qFormat/>
    <w:locked/>
    <w:uiPriority w:val="99"/>
    <w:rPr>
      <w:rFonts w:cs="Times New Roman"/>
      <w:kern w:val="2"/>
      <w:sz w:val="18"/>
    </w:rPr>
  </w:style>
  <w:style w:type="character" w:customStyle="1" w:styleId="18">
    <w:name w:val="Body Text Indent Char"/>
    <w:basedOn w:val="11"/>
    <w:link w:val="4"/>
    <w:autoRedefine/>
    <w:qFormat/>
    <w:locked/>
    <w:uiPriority w:val="99"/>
    <w:rPr>
      <w:rFonts w:cs="Times New Roman"/>
      <w:kern w:val="2"/>
      <w:sz w:val="21"/>
    </w:rPr>
  </w:style>
  <w:style w:type="paragraph" w:customStyle="1" w:styleId="19">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20">
    <w:name w:val="章标题"/>
    <w:next w:val="16"/>
    <w:autoRedefine/>
    <w:qFormat/>
    <w:uiPriority w:val="99"/>
    <w:pPr>
      <w:numPr>
        <w:ilvl w:val="1"/>
        <w:numId w:val="1"/>
      </w:numPr>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21">
    <w:name w:val="一级条标题"/>
    <w:basedOn w:val="20"/>
    <w:next w:val="16"/>
    <w:autoRedefine/>
    <w:qFormat/>
    <w:uiPriority w:val="99"/>
    <w:pPr>
      <w:numPr>
        <w:ilvl w:val="2"/>
        <w:numId w:val="1"/>
      </w:numPr>
      <w:outlineLvl w:val="2"/>
    </w:pPr>
    <w:rPr>
      <w:rFonts w:ascii="Times New Roman" w:hAnsi="Times New Roman" w:eastAsia="黑体" w:cs="Times New Roman"/>
      <w:kern w:val="0"/>
      <w:sz w:val="21"/>
      <w:szCs w:val="20"/>
      <w:lang w:val="en-US" w:eastAsia="zh-CN" w:bidi="ar-SA"/>
    </w:rPr>
  </w:style>
  <w:style w:type="paragraph" w:customStyle="1" w:styleId="22">
    <w:name w:val="二级条标题"/>
    <w:basedOn w:val="21"/>
    <w:next w:val="16"/>
    <w:autoRedefine/>
    <w:qFormat/>
    <w:uiPriority w:val="99"/>
    <w:pPr>
      <w:numPr>
        <w:ilvl w:val="3"/>
      </w:numPr>
      <w:tabs>
        <w:tab w:val="left" w:pos="1680"/>
      </w:tabs>
      <w:ind w:left="1680" w:hanging="420"/>
      <w:outlineLvl w:val="3"/>
    </w:pPr>
  </w:style>
  <w:style w:type="paragraph" w:customStyle="1" w:styleId="23">
    <w:name w:val="三级条标题"/>
    <w:basedOn w:val="22"/>
    <w:next w:val="16"/>
    <w:autoRedefine/>
    <w:qFormat/>
    <w:uiPriority w:val="99"/>
    <w:pPr>
      <w:numPr>
        <w:ilvl w:val="4"/>
      </w:numPr>
      <w:tabs>
        <w:tab w:val="left" w:pos="2100"/>
      </w:tabs>
      <w:ind w:left="2100"/>
      <w:outlineLvl w:val="4"/>
    </w:pPr>
  </w:style>
  <w:style w:type="paragraph" w:customStyle="1" w:styleId="24">
    <w:name w:val="四级条标题"/>
    <w:basedOn w:val="23"/>
    <w:next w:val="16"/>
    <w:autoRedefine/>
    <w:qFormat/>
    <w:uiPriority w:val="99"/>
    <w:pPr>
      <w:numPr>
        <w:ilvl w:val="5"/>
      </w:numPr>
      <w:tabs>
        <w:tab w:val="left" w:pos="2520"/>
      </w:tabs>
      <w:ind w:left="2520"/>
      <w:outlineLvl w:val="5"/>
    </w:pPr>
  </w:style>
  <w:style w:type="paragraph" w:customStyle="1" w:styleId="25">
    <w:name w:val="五级条标题"/>
    <w:basedOn w:val="24"/>
    <w:next w:val="16"/>
    <w:autoRedefine/>
    <w:qFormat/>
    <w:uiPriority w:val="99"/>
    <w:pPr>
      <w:numPr>
        <w:ilvl w:val="6"/>
      </w:numPr>
      <w:tabs>
        <w:tab w:val="left" w:pos="2940"/>
      </w:tabs>
      <w:ind w:left="2940"/>
      <w:outlineLvl w:val="6"/>
    </w:pPr>
  </w:style>
  <w:style w:type="character" w:customStyle="1" w:styleId="26">
    <w:name w:val="段 Char"/>
    <w:link w:val="16"/>
    <w:autoRedefine/>
    <w:qFormat/>
    <w:locked/>
    <w:uiPriority w:val="99"/>
    <w:rPr>
      <w:rFonts w:ascii="宋体"/>
      <w:sz w:val="22"/>
    </w:rPr>
  </w:style>
  <w:style w:type="character" w:customStyle="1" w:styleId="27">
    <w:name w:val="Header Char"/>
    <w:basedOn w:val="11"/>
    <w:link w:val="8"/>
    <w:qFormat/>
    <w:locked/>
    <w:uiPriority w:val="99"/>
    <w:rPr>
      <w:rFonts w:cs="Times New Roman"/>
      <w:kern w:val="2"/>
      <w:sz w:val="18"/>
    </w:rPr>
  </w:style>
  <w:style w:type="character" w:customStyle="1" w:styleId="28">
    <w:name w:val="Balloon Text Char"/>
    <w:basedOn w:val="11"/>
    <w:link w:val="6"/>
    <w:qFormat/>
    <w:locked/>
    <w:uiPriority w:val="99"/>
    <w:rPr>
      <w:rFonts w:cs="Times New Roman"/>
      <w:kern w:val="2"/>
      <w:sz w:val="18"/>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章"/>
    <w:basedOn w:val="1"/>
    <w:next w:val="16"/>
    <w:qFormat/>
    <w:uiPriority w:val="0"/>
    <w:pPr>
      <w:numPr>
        <w:ilvl w:val="0"/>
        <w:numId w:val="2"/>
      </w:numPr>
      <w:adjustRightInd w:val="0"/>
      <w:spacing w:before="160" w:beforeLines="0" w:after="160" w:afterLines="0"/>
      <w:outlineLvl w:val="0"/>
    </w:pPr>
    <w:rPr>
      <w:rFonts w:ascii="黑体" w:eastAsia="黑体"/>
      <w:kern w:val="21"/>
    </w:rPr>
  </w:style>
  <w:style w:type="paragraph" w:customStyle="1" w:styleId="31">
    <w:name w:val="条2"/>
    <w:basedOn w:val="1"/>
    <w:next w:val="16"/>
    <w:qFormat/>
    <w:uiPriority w:val="0"/>
    <w:pPr>
      <w:numPr>
        <w:ilvl w:val="2"/>
        <w:numId w:val="2"/>
      </w:numPr>
      <w:outlineLvl w:val="1"/>
    </w:pPr>
    <w:rPr>
      <w:rFonts w:ascii="黑体" w:eastAsia="黑体"/>
      <w:kern w:val="21"/>
    </w:rPr>
  </w:style>
  <w:style w:type="paragraph" w:customStyle="1" w:styleId="32">
    <w:name w:val="条1"/>
    <w:basedOn w:val="1"/>
    <w:next w:val="16"/>
    <w:qFormat/>
    <w:uiPriority w:val="0"/>
    <w:pPr>
      <w:numPr>
        <w:ilvl w:val="1"/>
        <w:numId w:val="2"/>
      </w:numPr>
      <w:outlineLvl w:val="1"/>
    </w:pPr>
    <w:rPr>
      <w:rFonts w:ascii="黑体" w:eastAsia="黑体"/>
      <w:kern w:val="21"/>
    </w:rPr>
  </w:style>
  <w:style w:type="paragraph" w:customStyle="1" w:styleId="33">
    <w:name w:val="二级无"/>
    <w:basedOn w:val="22"/>
    <w:qFormat/>
    <w:uiPriority w:val="99"/>
    <w:pPr>
      <w:spacing w:beforeLines="0" w:afterLines="0"/>
    </w:pPr>
    <w:rPr>
      <w:rFonts w:ascii="宋体" w:eastAsia="宋体" w:cs="宋体"/>
    </w:rPr>
  </w:style>
  <w:style w:type="paragraph" w:customStyle="1" w:styleId="34">
    <w:name w:val="正文公式编号制表符"/>
    <w:basedOn w:val="16"/>
    <w:next w:val="16"/>
    <w:qFormat/>
    <w:uiPriority w:val="99"/>
    <w:pPr>
      <w:tabs>
        <w:tab w:val="center" w:pos="4201"/>
        <w:tab w:val="right" w:leader="dot" w:pos="9298"/>
      </w:tabs>
      <w:ind w:firstLine="0" w:firstLineChars="0"/>
    </w:pPr>
  </w:style>
  <w:style w:type="paragraph" w:customStyle="1" w:styleId="35">
    <w:name w:val="标准文件_章标题"/>
    <w:next w:val="3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
    <w:name w:val="标准文件_一级无标题"/>
    <w:basedOn w:val="38"/>
    <w:qFormat/>
    <w:uiPriority w:val="0"/>
    <w:pPr>
      <w:spacing w:before="0" w:beforeLines="0" w:after="0" w:afterLines="0"/>
      <w:outlineLvl w:val="9"/>
    </w:pPr>
    <w:rPr>
      <w:rFonts w:ascii="宋体" w:eastAsia="宋体"/>
    </w:rPr>
  </w:style>
  <w:style w:type="paragraph" w:customStyle="1" w:styleId="38">
    <w:name w:val="标准文件_一级条标题"/>
    <w:basedOn w:val="35"/>
    <w:next w:val="36"/>
    <w:qFormat/>
    <w:uiPriority w:val="0"/>
    <w:pPr>
      <w:numPr>
        <w:ilvl w:val="2"/>
      </w:numPr>
      <w:spacing w:before="50" w:beforeLines="50" w:after="50" w:afterLines="50"/>
      <w:outlineLvl w:val="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numbering" Target="numbering.xml"/><Relationship Id="rId4" Type="http://schemas.openxmlformats.org/officeDocument/2006/relationships/footer" Target="footer2.xml"/><Relationship Id="rId39" Type="http://schemas.openxmlformats.org/officeDocument/2006/relationships/image" Target="media/image17.wmf"/><Relationship Id="rId38" Type="http://schemas.openxmlformats.org/officeDocument/2006/relationships/oleObject" Target="embeddings/oleObject17.bin"/><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Sky123.Org</Company>
  <Pages>14</Pages>
  <Words>5525</Words>
  <Characters>6085</Characters>
  <Lines>0</Lines>
  <Paragraphs>0</Paragraphs>
  <TotalTime>13</TotalTime>
  <ScaleCrop>false</ScaleCrop>
  <LinksUpToDate>false</LinksUpToDate>
  <CharactersWithSpaces>6839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2014-07-29T00:41:00Z</dcterms:created>
  <dc:creator>CT</dc:creator>
  <cp:lastModifiedBy>Administrator</cp:lastModifiedBy>
  <cp:lastPrinted>2014-10-22T01:05:00Z</cp:lastPrinted>
  <dcterms:modified xsi:type="dcterms:W3CDTF">2024-09-28T03:09:59Z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F8EBE3EF40EF49378581CBCD140C5AFA</vt:lpwstr>
  </property>
</Properties>
</file>